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90" w:rsidRDefault="00604309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муниципальной услуги </w:t>
      </w:r>
    </w:p>
    <w:p w:rsidR="00075990" w:rsidRDefault="00075990">
      <w:pPr>
        <w:shd w:val="clear" w:color="auto" w:fill="FFFFFF"/>
        <w:ind w:right="-1"/>
        <w:jc w:val="center"/>
      </w:pPr>
    </w:p>
    <w:p w:rsidR="00075990" w:rsidRDefault="00604309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Основными показателями доступности предоставления муниципальной услуги являются: </w:t>
      </w:r>
    </w:p>
    <w:p w:rsidR="00075990" w:rsidRDefault="00604309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075990" w:rsidRDefault="00604309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получения информаци</w:t>
      </w:r>
      <w:r>
        <w:rPr>
          <w:sz w:val="26"/>
          <w:szCs w:val="26"/>
        </w:rPr>
        <w:t xml:space="preserve">и о ходе предоставления муниципальной услуги, в том числе с использованием порталов. </w:t>
      </w:r>
    </w:p>
    <w:p w:rsidR="00604309" w:rsidRDefault="00604309">
      <w:pPr>
        <w:pStyle w:val="Default"/>
        <w:ind w:firstLine="567"/>
        <w:jc w:val="both"/>
        <w:rPr>
          <w:sz w:val="26"/>
          <w:szCs w:val="26"/>
        </w:rPr>
      </w:pPr>
    </w:p>
    <w:p w:rsidR="00075990" w:rsidRDefault="00604309">
      <w:pPr>
        <w:pStyle w:val="Default"/>
        <w:ind w:firstLine="567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Основными показателями качества предоставления муниципальной услуги являются: </w:t>
      </w:r>
    </w:p>
    <w:p w:rsidR="00075990" w:rsidRDefault="00604309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своевременность предоставления муниципальной услуги в соответствии со стандартом ее предост</w:t>
      </w:r>
      <w:r>
        <w:rPr>
          <w:sz w:val="26"/>
          <w:szCs w:val="26"/>
        </w:rPr>
        <w:t xml:space="preserve">авления, установленным Административным регламентом; </w:t>
      </w:r>
    </w:p>
    <w:p w:rsidR="00075990" w:rsidRDefault="00604309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075990" w:rsidRDefault="00604309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отсутствие обоснованных жалоб на действия (бездействие) сотрудников </w:t>
      </w:r>
      <w:r>
        <w:rPr>
          <w:sz w:val="26"/>
          <w:szCs w:val="26"/>
        </w:rPr>
        <w:t xml:space="preserve">и их некорректное (невнимательное) отношение к Заявителям; </w:t>
      </w:r>
    </w:p>
    <w:p w:rsidR="00075990" w:rsidRDefault="00604309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нарушений со стороны Уполномоченного органа, ответственных должностных лиц МКУ ЦОДОУ либо муниципальных служащих, работников МДОУ установленных сроков в процессе предоставления муниципа</w:t>
      </w:r>
      <w:r>
        <w:rPr>
          <w:sz w:val="26"/>
          <w:szCs w:val="26"/>
        </w:rPr>
        <w:t xml:space="preserve">льной услуги; </w:t>
      </w:r>
    </w:p>
    <w:p w:rsidR="00075990" w:rsidRDefault="00604309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заявлений об оспаривании решений, действий (бездействия) Уполномоченного органа, ответственных должностных лиц МКУ ЦОДОУ либо муниципальных служащих, либо работников МДОУ, принимаемых (совершенных) при предоставлении муниципальной</w:t>
      </w:r>
      <w:r>
        <w:rPr>
          <w:sz w:val="26"/>
          <w:szCs w:val="26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075990" w:rsidRDefault="00075990"/>
    <w:sectPr w:rsidR="0007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90" w:rsidRDefault="00604309">
      <w:r>
        <w:separator/>
      </w:r>
    </w:p>
  </w:endnote>
  <w:endnote w:type="continuationSeparator" w:id="0">
    <w:p w:rsidR="00075990" w:rsidRDefault="0060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90" w:rsidRDefault="00604309">
      <w:r>
        <w:separator/>
      </w:r>
    </w:p>
  </w:footnote>
  <w:footnote w:type="continuationSeparator" w:id="0">
    <w:p w:rsidR="00075990" w:rsidRDefault="0060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1B85"/>
    <w:multiLevelType w:val="hybridMultilevel"/>
    <w:tmpl w:val="D8388BF6"/>
    <w:lvl w:ilvl="0" w:tplc="F806C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7A0E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28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6C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200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5E6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E4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EB4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EE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90"/>
    <w:rsid w:val="00075990"/>
    <w:rsid w:val="0060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146C"/>
  <w15:docId w15:val="{B7D38377-F1DE-4780-BF9B-1C8A384F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Лузина Ирина Валериевна</cp:lastModifiedBy>
  <cp:revision>5</cp:revision>
  <dcterms:created xsi:type="dcterms:W3CDTF">2026-05-18T01:16:00Z</dcterms:created>
  <dcterms:modified xsi:type="dcterms:W3CDTF">2026-05-27T08:48:00Z</dcterms:modified>
</cp:coreProperties>
</file>