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A9487D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E111F8">
        <w:rPr>
          <w:b/>
          <w:bCs/>
        </w:rPr>
        <w:t>9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724A2B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40ED7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="00C40ED7">
        <w:rPr>
          <w:bCs/>
        </w:rPr>
        <w:t xml:space="preserve">кадастровый номер </w:t>
      </w:r>
      <w:r w:rsidR="00C40ED7">
        <w:t>24:59:0101001:566, адрес: Российская Федерация, Красноярский край, город Зеленогорск, садоводство N 3, 10-я улица, земельный участок N 1Б, площадь 541 кв. м, вид разрешенного использования: магазины. Для размещения объектов торговли</w:t>
      </w:r>
      <w:r w:rsidR="00542620">
        <w:t>,</w:t>
      </w:r>
      <w:bookmarkStart w:id="0" w:name="_GoBack"/>
      <w:bookmarkEnd w:id="0"/>
      <w:r w:rsidR="00C40ED7" w:rsidRPr="00724A2B">
        <w:t xml:space="preserve"> </w:t>
      </w:r>
      <w:r w:rsidRPr="00724A2B">
        <w:t xml:space="preserve">пригодном для целевого использования. </w:t>
      </w:r>
    </w:p>
    <w:p w:rsidR="007D0E39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E534C6" w:rsidRPr="00724A2B">
        <w:t>для строительства</w:t>
      </w:r>
      <w:r w:rsidR="00F81CCF" w:rsidRPr="00724A2B">
        <w:t xml:space="preserve"> </w:t>
      </w:r>
      <w:r w:rsidR="00C40ED7">
        <w:t>здания магазина</w:t>
      </w:r>
      <w:r w:rsidR="00E111F8" w:rsidRPr="00724A2B">
        <w:t xml:space="preserve"> </w:t>
      </w:r>
      <w:r w:rsidRPr="00724A2B">
        <w:rPr>
          <w:spacing w:val="1"/>
        </w:rPr>
        <w:t>(далее - Участок)</w:t>
      </w:r>
      <w:r w:rsidRPr="00724A2B">
        <w:t>.</w:t>
      </w:r>
    </w:p>
    <w:p w:rsidR="007D0E39" w:rsidRDefault="007D0E39" w:rsidP="00177997">
      <w:pPr>
        <w:jc w:val="both"/>
      </w:pPr>
      <w:r w:rsidRPr="00724A2B">
        <w:rPr>
          <w:spacing w:val="5"/>
        </w:rPr>
        <w:t xml:space="preserve">        </w:t>
      </w:r>
      <w:r w:rsidRPr="00724A2B">
        <w:t>1.2.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lastRenderedPageBreak/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Pr="009C4263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286332">
        <w:rPr>
          <w:b/>
          <w:spacing w:val="-1"/>
          <w:u w:val="single"/>
        </w:rPr>
        <w:t>1 год 6 месяцев</w:t>
      </w:r>
      <w:r w:rsidR="008C3BB3" w:rsidRPr="009C426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 w:rsidRPr="009C4263">
        <w:t xml:space="preserve"> 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D735D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2019 год </w:t>
      </w:r>
      <w:r>
        <w:rPr>
          <w:bCs/>
          <w:spacing w:val="-1"/>
        </w:rPr>
        <w:t xml:space="preserve">не позднее </w:t>
      </w:r>
      <w:r w:rsidR="00C82234">
        <w:rPr>
          <w:bCs/>
          <w:spacing w:val="-1"/>
        </w:rPr>
        <w:t>______________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9C4263">
        <w:t>201</w:t>
      </w:r>
      <w:r w:rsidR="00E111F8" w:rsidRPr="009C4263">
        <w:t>9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земельный участок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9C4263">
        <w:rPr>
          <w:b/>
        </w:rPr>
        <w:t xml:space="preserve">120 4 </w:t>
      </w:r>
      <w:r w:rsidRPr="00274BBD">
        <w:rPr>
          <w:b/>
        </w:rPr>
        <w:t>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F81CCF" w:rsidRDefault="00F81CCF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1164A9">
        <w:t xml:space="preserve">6.1.  </w:t>
      </w:r>
      <w:r w:rsidR="001164A9" w:rsidRPr="00E474FB">
        <w:rPr>
          <w:b/>
        </w:rPr>
        <w:t>Арендатор</w:t>
      </w:r>
      <w:r w:rsidR="007D0E39" w:rsidRPr="00BA0B17">
        <w:t xml:space="preserve"> 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A75B96" w:rsidRPr="00E96BC1" w:rsidRDefault="00A75B96" w:rsidP="009C4263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     </w:t>
      </w:r>
      <w:r w:rsidRPr="0096405F">
        <w:rPr>
          <w:highlight w:val="yellow"/>
        </w:rPr>
        <w:t>6.3</w:t>
      </w:r>
      <w:r w:rsidRPr="0096405F">
        <w:rPr>
          <w:b/>
          <w:highlight w:val="yellow"/>
        </w:rPr>
        <w:t xml:space="preserve">. </w:t>
      </w:r>
      <w:r w:rsidR="009C4263" w:rsidRPr="0096405F">
        <w:rPr>
          <w:b/>
          <w:highlight w:val="yellow"/>
        </w:rPr>
        <w:t>Арендатор</w:t>
      </w:r>
      <w:r w:rsidR="009C4263" w:rsidRPr="0096405F">
        <w:rPr>
          <w:highlight w:val="yellow"/>
        </w:rPr>
        <w:t xml:space="preserve"> не вправе переуступать права и обязанности по Договору.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04D8B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 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>6.</w:t>
      </w:r>
      <w:r w:rsidR="00404D8B">
        <w:rPr>
          <w:spacing w:val="-2"/>
        </w:rPr>
        <w:t>4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</w:t>
      </w:r>
      <w:r w:rsidR="000D1180">
        <w:t xml:space="preserve"> 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404D8B">
        <w:rPr>
          <w:spacing w:val="-8"/>
        </w:rPr>
        <w:t>4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  <w:r w:rsidR="00163193">
        <w:rPr>
          <w:spacing w:val="-2"/>
        </w:rPr>
        <w:t>6.</w:t>
      </w:r>
      <w:r w:rsidR="00404D8B">
        <w:rPr>
          <w:spacing w:val="-2"/>
        </w:rPr>
        <w:t>4</w:t>
      </w:r>
      <w:r w:rsidR="00163193">
        <w:rPr>
          <w:spacing w:val="-2"/>
        </w:rPr>
        <w:t>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404D8B" w:rsidRDefault="00163193" w:rsidP="00404D8B">
      <w:pPr>
        <w:autoSpaceDE w:val="0"/>
        <w:jc w:val="both"/>
      </w:pPr>
      <w:r w:rsidRPr="00A245DA">
        <w:t xml:space="preserve"> </w:t>
      </w:r>
      <w:r>
        <w:t xml:space="preserve">              6.</w:t>
      </w:r>
      <w:r w:rsidR="00404D8B">
        <w:t>4</w:t>
      </w:r>
      <w:r>
        <w:t>.4. В случае необходимости вырубку деревьев осуществлять в соответствии с муниципальными правовыми актами г. Зеленогорска.</w:t>
      </w:r>
      <w:r w:rsidR="00A75B96">
        <w:t xml:space="preserve">     </w:t>
      </w:r>
    </w:p>
    <w:p w:rsidR="00C82234" w:rsidRPr="00C82234" w:rsidRDefault="00404D8B" w:rsidP="00C82234">
      <w:pPr>
        <w:autoSpaceDE w:val="0"/>
        <w:jc w:val="both"/>
      </w:pPr>
      <w:r w:rsidRPr="00E96BC1">
        <w:t xml:space="preserve">  </w:t>
      </w:r>
      <w:r w:rsidR="00163193" w:rsidRPr="00E96BC1">
        <w:rPr>
          <w:spacing w:val="-2"/>
        </w:rPr>
        <w:t xml:space="preserve">             6</w:t>
      </w:r>
      <w:r w:rsidR="00163193" w:rsidRPr="00C82234">
        <w:rPr>
          <w:spacing w:val="-2"/>
        </w:rPr>
        <w:t>.</w:t>
      </w:r>
      <w:r w:rsidRPr="00C82234">
        <w:rPr>
          <w:spacing w:val="-2"/>
        </w:rPr>
        <w:t>4</w:t>
      </w:r>
      <w:r w:rsidR="00163193" w:rsidRPr="00C82234">
        <w:rPr>
          <w:spacing w:val="-2"/>
        </w:rPr>
        <w:t xml:space="preserve">.5. Соблюдать </w:t>
      </w:r>
      <w:r w:rsidR="00163193" w:rsidRPr="00C82234">
        <w:t>п</w:t>
      </w:r>
      <w:r w:rsidR="00163193" w:rsidRPr="00C82234">
        <w:rPr>
          <w:bCs/>
        </w:rPr>
        <w:t xml:space="preserve">араметры разрешенного строительства, установленные разделом </w:t>
      </w:r>
    </w:p>
    <w:p w:rsidR="00C82234" w:rsidRPr="00C82234" w:rsidRDefault="00C82234" w:rsidP="00C82234">
      <w:pPr>
        <w:jc w:val="both"/>
      </w:pPr>
      <w:r w:rsidRPr="00C82234">
        <w:t xml:space="preserve">2.17 Правил землепользования и застройки г. Зеленогорска, утвержденных решением Совета депутатов ЗАТО г. Зеленогорска </w:t>
      </w:r>
      <w:proofErr w:type="gramStart"/>
      <w:r w:rsidRPr="00C82234">
        <w:t>от  24.12.2018</w:t>
      </w:r>
      <w:proofErr w:type="gramEnd"/>
      <w:r w:rsidRPr="00C82234">
        <w:t xml:space="preserve">  № 6-27р:</w:t>
      </w:r>
    </w:p>
    <w:p w:rsidR="00C82234" w:rsidRPr="00C82234" w:rsidRDefault="00C82234" w:rsidP="00C82234">
      <w:pPr>
        <w:ind w:firstLine="284"/>
        <w:jc w:val="both"/>
      </w:pPr>
      <w:r w:rsidRPr="00C82234">
        <w:t xml:space="preserve">         Минимальные отступы от границ земельного участка в целях определения мест допустимого </w:t>
      </w:r>
      <w:proofErr w:type="gramStart"/>
      <w:r w:rsidRPr="00C82234">
        <w:t>размещения  зданий</w:t>
      </w:r>
      <w:proofErr w:type="gramEnd"/>
      <w:r w:rsidRPr="00C82234">
        <w:t xml:space="preserve">, строений сооружений - 3 </w:t>
      </w:r>
      <w:proofErr w:type="spellStart"/>
      <w:r w:rsidRPr="00C82234">
        <w:t>метрa</w:t>
      </w:r>
      <w:proofErr w:type="spellEnd"/>
      <w:r w:rsidRPr="00C82234">
        <w:t>.</w:t>
      </w:r>
    </w:p>
    <w:p w:rsidR="00C82234" w:rsidRPr="00C82234" w:rsidRDefault="00C82234" w:rsidP="00C82234">
      <w:pPr>
        <w:ind w:firstLine="284"/>
        <w:jc w:val="both"/>
      </w:pPr>
      <w:r w:rsidRPr="00C82234">
        <w:t xml:space="preserve">         Минимальный отступ от красной линии до линии регулирования застройки - 3 метра.</w:t>
      </w:r>
    </w:p>
    <w:p w:rsidR="00C82234" w:rsidRPr="00C82234" w:rsidRDefault="00C82234" w:rsidP="00C82234">
      <w:pPr>
        <w:ind w:firstLine="284"/>
        <w:jc w:val="both"/>
      </w:pPr>
      <w:r w:rsidRPr="00C82234">
        <w:t xml:space="preserve">         Предельное (максимальное) количество надземных этажей - 3.</w:t>
      </w:r>
    </w:p>
    <w:p w:rsidR="00C32B89" w:rsidRPr="00C82234" w:rsidRDefault="00C82234" w:rsidP="00C82234">
      <w:pPr>
        <w:ind w:firstLine="284"/>
        <w:jc w:val="both"/>
      </w:pPr>
      <w:r w:rsidRPr="00C82234">
        <w:t xml:space="preserve">         Максимальный процент застройки в границах земельного участка – 80 процентов</w:t>
      </w:r>
    </w:p>
    <w:p w:rsidR="00163193" w:rsidRPr="00E96BC1" w:rsidRDefault="00163193" w:rsidP="00C32B89">
      <w:pPr>
        <w:ind w:firstLine="284"/>
        <w:jc w:val="both"/>
      </w:pPr>
      <w:r w:rsidRPr="00E96BC1">
        <w:t xml:space="preserve">    </w:t>
      </w:r>
      <w:r w:rsidR="00404D8B" w:rsidRPr="00E96BC1">
        <w:t xml:space="preserve">    </w:t>
      </w:r>
      <w:r w:rsidRPr="00E96BC1">
        <w:t xml:space="preserve"> </w:t>
      </w:r>
      <w:r w:rsidRPr="00E96BC1">
        <w:rPr>
          <w:lang w:eastAsia="en-US"/>
        </w:rPr>
        <w:t>6.</w:t>
      </w:r>
      <w:r w:rsidR="00404D8B" w:rsidRPr="00E96BC1">
        <w:rPr>
          <w:lang w:eastAsia="en-US"/>
        </w:rPr>
        <w:t>5</w:t>
      </w:r>
      <w:r w:rsidRPr="00E96BC1"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________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за № _________.</w:t>
      </w:r>
    </w:p>
    <w:p w:rsidR="00C82234" w:rsidRDefault="00163193" w:rsidP="00C32B89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Pr="00E96BC1">
        <w:rPr>
          <w:bCs/>
          <w:color w:val="FF0000"/>
        </w:rPr>
        <w:t xml:space="preserve"> </w:t>
      </w:r>
      <w:r w:rsidR="00A66161">
        <w:rPr>
          <w:bCs/>
        </w:rPr>
        <w:t>6.6.</w:t>
      </w:r>
      <w:r w:rsidR="00C32B89" w:rsidRPr="00C32B89">
        <w:rPr>
          <w:bCs/>
        </w:rPr>
        <w:t xml:space="preserve"> </w:t>
      </w:r>
      <w:r w:rsidR="00C82234" w:rsidRPr="00C82234">
        <w:rPr>
          <w:bCs/>
        </w:rPr>
        <w:t xml:space="preserve">Технические условия подключения (технологического присоединения) предоставлены муниципальным унитарным предприятием тепловых сетей г. Зеленогорска, место нахождение: 663690 Красноярский край, г. Зеленогорск, ул. Майское шоссе, 19 (далее – МУП ТС), муниципальным унитарным предприятием электрических сетей </w:t>
      </w:r>
      <w:r w:rsidR="00C82234">
        <w:rPr>
          <w:bCs/>
        </w:rPr>
        <w:t xml:space="preserve">                                          </w:t>
      </w:r>
      <w:r w:rsidR="00C82234" w:rsidRPr="00C82234">
        <w:rPr>
          <w:bCs/>
        </w:rPr>
        <w:t>г. Зеленогорска, место нахождение: 663690 Красноярский край,</w:t>
      </w:r>
      <w:r w:rsidR="00C82234">
        <w:rPr>
          <w:bCs/>
        </w:rPr>
        <w:t xml:space="preserve"> </w:t>
      </w:r>
      <w:r w:rsidR="00C82234" w:rsidRPr="00C82234">
        <w:rPr>
          <w:bCs/>
        </w:rPr>
        <w:t xml:space="preserve">г. Зеленогорск, </w:t>
      </w:r>
      <w:r w:rsidR="00C82234">
        <w:rPr>
          <w:bCs/>
        </w:rPr>
        <w:t xml:space="preserve">                                  </w:t>
      </w:r>
      <w:r w:rsidR="00C82234" w:rsidRPr="00C82234">
        <w:rPr>
          <w:bCs/>
        </w:rPr>
        <w:t xml:space="preserve">ул. Октябрьская, 57 (далее – МУП ЭС).  </w:t>
      </w:r>
    </w:p>
    <w:p w:rsidR="00C82234" w:rsidRDefault="00C82234" w:rsidP="00C32B89">
      <w:pPr>
        <w:autoSpaceDE w:val="0"/>
        <w:jc w:val="both"/>
        <w:rPr>
          <w:bCs/>
        </w:rPr>
      </w:pPr>
      <w:r w:rsidRPr="00C82234">
        <w:rPr>
          <w:bCs/>
        </w:rPr>
        <w:t xml:space="preserve">       </w:t>
      </w:r>
      <w:r w:rsidR="00C32B89" w:rsidRPr="00C32B89">
        <w:rPr>
          <w:bCs/>
        </w:rPr>
        <w:t xml:space="preserve">  </w:t>
      </w:r>
      <w:r w:rsidR="00C32B89">
        <w:rPr>
          <w:bCs/>
        </w:rPr>
        <w:t xml:space="preserve"> 6.</w:t>
      </w:r>
      <w:r w:rsidR="00A66161">
        <w:rPr>
          <w:bCs/>
        </w:rPr>
        <w:t>6</w:t>
      </w:r>
      <w:r w:rsidR="00C32B89">
        <w:rPr>
          <w:bCs/>
        </w:rPr>
        <w:t xml:space="preserve">.1. </w:t>
      </w:r>
      <w:r w:rsidR="00C32B89" w:rsidRPr="00C32B89">
        <w:rPr>
          <w:b/>
          <w:bCs/>
        </w:rPr>
        <w:t xml:space="preserve">Технические условия подключения </w:t>
      </w:r>
      <w:proofErr w:type="gramStart"/>
      <w:r w:rsidR="00C32B89" w:rsidRPr="00C32B89">
        <w:rPr>
          <w:b/>
          <w:bCs/>
        </w:rPr>
        <w:t>к  сетям</w:t>
      </w:r>
      <w:proofErr w:type="gramEnd"/>
      <w:r w:rsidR="00C32B89" w:rsidRPr="00C32B89">
        <w:rPr>
          <w:b/>
          <w:bCs/>
        </w:rPr>
        <w:t xml:space="preserve"> теплоснабжения</w:t>
      </w:r>
      <w:r w:rsidR="00C32B89" w:rsidRPr="00C32B89">
        <w:rPr>
          <w:bCs/>
        </w:rPr>
        <w:t xml:space="preserve">. </w:t>
      </w:r>
    </w:p>
    <w:p w:rsidR="00C32B89" w:rsidRPr="00C32B89" w:rsidRDefault="00C82234" w:rsidP="00C32B89">
      <w:pPr>
        <w:autoSpaceDE w:val="0"/>
        <w:jc w:val="both"/>
        <w:rPr>
          <w:bCs/>
        </w:rPr>
      </w:pPr>
      <w:r>
        <w:rPr>
          <w:bCs/>
        </w:rPr>
        <w:t xml:space="preserve">         </w:t>
      </w:r>
      <w:r w:rsidRPr="00C82234">
        <w:rPr>
          <w:bCs/>
        </w:rPr>
        <w:t xml:space="preserve">Согласно информации МУП ТС от 22.04.2019 № 40-02/988 возможность подключения объекта капитального строительства к системе централизованного теплоснабжения отсутствует.           </w:t>
      </w:r>
      <w:r w:rsidR="00C32B89" w:rsidRPr="00C32B89">
        <w:rPr>
          <w:bCs/>
        </w:rPr>
        <w:t xml:space="preserve">     </w:t>
      </w:r>
    </w:p>
    <w:p w:rsidR="00C82234" w:rsidRDefault="00C32B89" w:rsidP="00C82234">
      <w:pPr>
        <w:autoSpaceDE w:val="0"/>
        <w:jc w:val="both"/>
        <w:rPr>
          <w:bCs/>
        </w:rPr>
      </w:pPr>
      <w:r w:rsidRPr="00C32B89">
        <w:rPr>
          <w:bCs/>
        </w:rPr>
        <w:t xml:space="preserve">           </w:t>
      </w:r>
      <w:r>
        <w:rPr>
          <w:bCs/>
        </w:rPr>
        <w:t>6.</w:t>
      </w:r>
      <w:r w:rsidR="00A66161">
        <w:rPr>
          <w:bCs/>
        </w:rPr>
        <w:t>6</w:t>
      </w:r>
      <w:r>
        <w:rPr>
          <w:bCs/>
        </w:rPr>
        <w:t>.2</w:t>
      </w:r>
      <w:r w:rsidRPr="00C32B89">
        <w:rPr>
          <w:b/>
          <w:bCs/>
        </w:rPr>
        <w:t xml:space="preserve">. Технические условия подключения </w:t>
      </w:r>
      <w:proofErr w:type="gramStart"/>
      <w:r w:rsidRPr="00C32B89">
        <w:rPr>
          <w:b/>
          <w:bCs/>
        </w:rPr>
        <w:t>к  сетям</w:t>
      </w:r>
      <w:proofErr w:type="gramEnd"/>
      <w:r w:rsidRPr="00C32B89">
        <w:rPr>
          <w:b/>
          <w:bCs/>
        </w:rPr>
        <w:t xml:space="preserve"> водоснабжения</w:t>
      </w:r>
      <w:r w:rsidRPr="00C32B89">
        <w:rPr>
          <w:bCs/>
        </w:rPr>
        <w:t>.</w:t>
      </w:r>
    </w:p>
    <w:p w:rsidR="00C82234" w:rsidRPr="00C32B89" w:rsidRDefault="00C82234" w:rsidP="00C82234">
      <w:pPr>
        <w:autoSpaceDE w:val="0"/>
        <w:jc w:val="both"/>
        <w:rPr>
          <w:bCs/>
        </w:rPr>
      </w:pPr>
      <w:r>
        <w:rPr>
          <w:bCs/>
        </w:rPr>
        <w:t xml:space="preserve">          </w:t>
      </w:r>
      <w:r w:rsidRPr="00C82234">
        <w:rPr>
          <w:bCs/>
        </w:rPr>
        <w:t>Согласно информации МУП ТС от 22.04.2019 № 40-02/988 возможность подключения объекта капитального строительства к системе централизованного водоснабжения отсутствует.</w:t>
      </w:r>
      <w:r w:rsidR="00C32B89" w:rsidRPr="00C32B89">
        <w:rPr>
          <w:bCs/>
        </w:rPr>
        <w:t xml:space="preserve">           </w:t>
      </w:r>
    </w:p>
    <w:p w:rsidR="00C32B89" w:rsidRDefault="00C32B89" w:rsidP="00C32B89">
      <w:pPr>
        <w:autoSpaceDE w:val="0"/>
        <w:jc w:val="both"/>
        <w:rPr>
          <w:b/>
          <w:bCs/>
        </w:rPr>
      </w:pPr>
      <w:r w:rsidRPr="00C32B89">
        <w:rPr>
          <w:bCs/>
        </w:rPr>
        <w:t xml:space="preserve">      </w:t>
      </w:r>
      <w:r w:rsidR="00A66161">
        <w:rPr>
          <w:bCs/>
        </w:rPr>
        <w:t xml:space="preserve">       6.6</w:t>
      </w:r>
      <w:r>
        <w:rPr>
          <w:bCs/>
        </w:rPr>
        <w:t>.3.</w:t>
      </w:r>
      <w:r w:rsidR="00A66161">
        <w:rPr>
          <w:bCs/>
        </w:rPr>
        <w:t xml:space="preserve"> </w:t>
      </w:r>
      <w:r w:rsidRPr="00C32B89">
        <w:rPr>
          <w:b/>
          <w:bCs/>
        </w:rPr>
        <w:t>Технические условия подключения к сетям водоотведения.</w:t>
      </w:r>
    </w:p>
    <w:p w:rsidR="00C32B89" w:rsidRPr="00C32B89" w:rsidRDefault="00C82234" w:rsidP="00C82234">
      <w:pPr>
        <w:autoSpaceDE w:val="0"/>
        <w:jc w:val="both"/>
        <w:rPr>
          <w:bCs/>
        </w:rPr>
      </w:pPr>
      <w:r>
        <w:rPr>
          <w:b/>
          <w:bCs/>
        </w:rPr>
        <w:t xml:space="preserve">         </w:t>
      </w:r>
      <w:r w:rsidRPr="00C82234">
        <w:rPr>
          <w:bCs/>
        </w:rPr>
        <w:t xml:space="preserve">Согласно информации МУП ТС от 22.04.2019 № 40-02/988 возможность подключения объекта капитального строительства к канализационным сетям отсутствует.  </w:t>
      </w:r>
      <w:r w:rsidR="00C32B89" w:rsidRPr="00C32B89">
        <w:rPr>
          <w:bCs/>
        </w:rPr>
        <w:t xml:space="preserve">       </w:t>
      </w:r>
    </w:p>
    <w:p w:rsidR="00C82234" w:rsidRDefault="00C32B89" w:rsidP="00C32B89">
      <w:pPr>
        <w:autoSpaceDE w:val="0"/>
        <w:jc w:val="both"/>
        <w:rPr>
          <w:b/>
          <w:bCs/>
        </w:rPr>
      </w:pPr>
      <w:r w:rsidRPr="00C32B89">
        <w:rPr>
          <w:bCs/>
        </w:rPr>
        <w:t xml:space="preserve">        </w:t>
      </w:r>
      <w:r w:rsidR="00C82234">
        <w:rPr>
          <w:bCs/>
        </w:rPr>
        <w:t xml:space="preserve">    </w:t>
      </w:r>
      <w:r w:rsidRPr="00C32B89">
        <w:rPr>
          <w:bCs/>
        </w:rPr>
        <w:t xml:space="preserve"> </w:t>
      </w:r>
      <w:r w:rsidR="006962C9">
        <w:rPr>
          <w:bCs/>
        </w:rPr>
        <w:t>6.</w:t>
      </w:r>
      <w:r w:rsidR="00C82234">
        <w:rPr>
          <w:bCs/>
        </w:rPr>
        <w:t>6</w:t>
      </w:r>
      <w:r w:rsidR="006962C9">
        <w:rPr>
          <w:bCs/>
        </w:rPr>
        <w:t>.</w:t>
      </w:r>
      <w:r w:rsidR="00C82234">
        <w:rPr>
          <w:bCs/>
        </w:rPr>
        <w:t>4</w:t>
      </w:r>
      <w:r w:rsidR="006962C9">
        <w:rPr>
          <w:bCs/>
        </w:rPr>
        <w:t xml:space="preserve">. </w:t>
      </w:r>
      <w:r w:rsidRPr="00C32B89">
        <w:rPr>
          <w:b/>
          <w:bCs/>
        </w:rPr>
        <w:t xml:space="preserve">Технические условия присоединения к сетям электроснабжения.  </w:t>
      </w:r>
    </w:p>
    <w:p w:rsidR="00C32B89" w:rsidRPr="00C82234" w:rsidRDefault="00C82234" w:rsidP="00C32B89">
      <w:pPr>
        <w:autoSpaceDE w:val="0"/>
        <w:jc w:val="both"/>
        <w:rPr>
          <w:bCs/>
        </w:rPr>
      </w:pPr>
      <w:r>
        <w:rPr>
          <w:b/>
          <w:bCs/>
        </w:rPr>
        <w:t xml:space="preserve">          </w:t>
      </w:r>
      <w:r w:rsidRPr="00C82234">
        <w:rPr>
          <w:bCs/>
        </w:rPr>
        <w:t>Согласно информации МУП ЭС от 24.04.2019 № 49-03/334 возможность подключения объекта капитального строительства к электрическим сетям отсутствует.</w:t>
      </w:r>
      <w:r w:rsidR="00C32B89" w:rsidRPr="00C82234">
        <w:rPr>
          <w:bCs/>
        </w:rPr>
        <w:t xml:space="preserve">           </w:t>
      </w:r>
    </w:p>
    <w:p w:rsidR="00163193" w:rsidRDefault="00C32B89" w:rsidP="00C82234">
      <w:pPr>
        <w:autoSpaceDE w:val="0"/>
        <w:jc w:val="both"/>
      </w:pPr>
      <w:r w:rsidRPr="00C32B89">
        <w:rPr>
          <w:bCs/>
        </w:rPr>
        <w:t xml:space="preserve">         </w:t>
      </w:r>
      <w:r w:rsidR="00163193" w:rsidRPr="00163193">
        <w:rPr>
          <w:color w:val="000000"/>
        </w:rPr>
        <w:t xml:space="preserve">           </w:t>
      </w:r>
    </w:p>
    <w:p w:rsidR="00104D4D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8A1F1F"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67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8A1F1F">
        <w:trPr>
          <w:trHeight w:val="370"/>
        </w:trPr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7D0E39" w:rsidRDefault="007D0E39" w:rsidP="008A1F1F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4A6F"/>
    <w:rsid w:val="000D631D"/>
    <w:rsid w:val="000E47D6"/>
    <w:rsid w:val="000F4623"/>
    <w:rsid w:val="000F7A88"/>
    <w:rsid w:val="00104D4D"/>
    <w:rsid w:val="00105697"/>
    <w:rsid w:val="00106302"/>
    <w:rsid w:val="00112E2C"/>
    <w:rsid w:val="001164A9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574D"/>
    <w:rsid w:val="00217121"/>
    <w:rsid w:val="0022391E"/>
    <w:rsid w:val="002471BA"/>
    <w:rsid w:val="00274BBD"/>
    <w:rsid w:val="00275DDA"/>
    <w:rsid w:val="00286332"/>
    <w:rsid w:val="00293ACF"/>
    <w:rsid w:val="002B5F2C"/>
    <w:rsid w:val="002C4DD5"/>
    <w:rsid w:val="002D7059"/>
    <w:rsid w:val="002E01C9"/>
    <w:rsid w:val="002E4A72"/>
    <w:rsid w:val="002F574B"/>
    <w:rsid w:val="00300633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04D8B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127DC"/>
    <w:rsid w:val="00532931"/>
    <w:rsid w:val="0053295F"/>
    <w:rsid w:val="00542620"/>
    <w:rsid w:val="005515D6"/>
    <w:rsid w:val="00561950"/>
    <w:rsid w:val="00584486"/>
    <w:rsid w:val="005A3E38"/>
    <w:rsid w:val="005A417E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962C9"/>
    <w:rsid w:val="006A24DE"/>
    <w:rsid w:val="006E0DF6"/>
    <w:rsid w:val="006E3E78"/>
    <w:rsid w:val="00720EF9"/>
    <w:rsid w:val="00724A2B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A1F1F"/>
    <w:rsid w:val="008B4024"/>
    <w:rsid w:val="008B7F34"/>
    <w:rsid w:val="008C3BB3"/>
    <w:rsid w:val="008E2868"/>
    <w:rsid w:val="008F1A5D"/>
    <w:rsid w:val="00916A20"/>
    <w:rsid w:val="009305BD"/>
    <w:rsid w:val="009321DC"/>
    <w:rsid w:val="00933705"/>
    <w:rsid w:val="009536BF"/>
    <w:rsid w:val="00954A8A"/>
    <w:rsid w:val="0096405F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4263"/>
    <w:rsid w:val="009C6E8B"/>
    <w:rsid w:val="009D199C"/>
    <w:rsid w:val="009F18FE"/>
    <w:rsid w:val="009F3162"/>
    <w:rsid w:val="00A06239"/>
    <w:rsid w:val="00A1730F"/>
    <w:rsid w:val="00A362AA"/>
    <w:rsid w:val="00A4283D"/>
    <w:rsid w:val="00A45D74"/>
    <w:rsid w:val="00A66161"/>
    <w:rsid w:val="00A75B96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D84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968A8"/>
    <w:rsid w:val="00BA0B17"/>
    <w:rsid w:val="00BA600B"/>
    <w:rsid w:val="00BC1F7B"/>
    <w:rsid w:val="00BE2396"/>
    <w:rsid w:val="00BF2CCA"/>
    <w:rsid w:val="00BF6347"/>
    <w:rsid w:val="00C20EBC"/>
    <w:rsid w:val="00C21DEF"/>
    <w:rsid w:val="00C32B89"/>
    <w:rsid w:val="00C350E9"/>
    <w:rsid w:val="00C40ED7"/>
    <w:rsid w:val="00C61836"/>
    <w:rsid w:val="00C655F3"/>
    <w:rsid w:val="00C670FA"/>
    <w:rsid w:val="00C67748"/>
    <w:rsid w:val="00C73320"/>
    <w:rsid w:val="00C82234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735D5"/>
    <w:rsid w:val="00DD3D79"/>
    <w:rsid w:val="00DD5925"/>
    <w:rsid w:val="00DF143D"/>
    <w:rsid w:val="00E10E53"/>
    <w:rsid w:val="00E111F8"/>
    <w:rsid w:val="00E202CE"/>
    <w:rsid w:val="00E474FB"/>
    <w:rsid w:val="00E534C6"/>
    <w:rsid w:val="00E67DA3"/>
    <w:rsid w:val="00E823F3"/>
    <w:rsid w:val="00E94112"/>
    <w:rsid w:val="00E96BC1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1CCF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1B2A51F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4F734-23C9-468F-BCDC-975E7342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22</cp:revision>
  <cp:lastPrinted>2018-03-01T09:36:00Z</cp:lastPrinted>
  <dcterms:created xsi:type="dcterms:W3CDTF">2019-02-13T05:18:00Z</dcterms:created>
  <dcterms:modified xsi:type="dcterms:W3CDTF">2019-06-06T02:57:00Z</dcterms:modified>
</cp:coreProperties>
</file>