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FD" w:rsidRDefault="00C57DFD">
      <w:pPr>
        <w:pStyle w:val="ConsPlusTitlePage"/>
      </w:pPr>
      <w:bookmarkStart w:id="0" w:name="_GoBack"/>
      <w:bookmarkEnd w:id="0"/>
      <w:r>
        <w:br/>
      </w:r>
    </w:p>
    <w:p w:rsidR="00C57DFD" w:rsidRDefault="00C57DFD">
      <w:pPr>
        <w:pStyle w:val="ConsPlusNormal"/>
        <w:jc w:val="both"/>
        <w:outlineLvl w:val="0"/>
      </w:pPr>
    </w:p>
    <w:p w:rsidR="00C57DFD" w:rsidRDefault="00C57DFD">
      <w:pPr>
        <w:pStyle w:val="ConsPlusTitle"/>
        <w:jc w:val="center"/>
        <w:outlineLvl w:val="0"/>
      </w:pPr>
      <w:r>
        <w:t>СОВЕТ ДЕПУТАТОВ</w:t>
      </w:r>
    </w:p>
    <w:p w:rsidR="00C57DFD" w:rsidRDefault="00C57DFD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C57DFD" w:rsidRDefault="00C57DFD">
      <w:pPr>
        <w:pStyle w:val="ConsPlusTitle"/>
        <w:jc w:val="center"/>
      </w:pPr>
      <w:r>
        <w:t>ГОРОД ЗЕЛЕНОГОРСК КРАСНОЯРСКОГО КРАЯ</w:t>
      </w:r>
    </w:p>
    <w:p w:rsidR="00C57DFD" w:rsidRDefault="00C57DFD">
      <w:pPr>
        <w:pStyle w:val="ConsPlusTitle"/>
        <w:jc w:val="center"/>
      </w:pPr>
    </w:p>
    <w:p w:rsidR="00C57DFD" w:rsidRDefault="00C57DFD">
      <w:pPr>
        <w:pStyle w:val="ConsPlusTitle"/>
        <w:jc w:val="center"/>
      </w:pPr>
      <w:r>
        <w:t>РЕШЕНИЕ</w:t>
      </w:r>
    </w:p>
    <w:p w:rsidR="00C57DFD" w:rsidRDefault="00C57DFD">
      <w:pPr>
        <w:pStyle w:val="ConsPlusTitle"/>
        <w:jc w:val="center"/>
      </w:pPr>
      <w:r>
        <w:t>от 26 ноября 2009 г. N 59-582р</w:t>
      </w:r>
    </w:p>
    <w:p w:rsidR="00C57DFD" w:rsidRDefault="00C57DFD">
      <w:pPr>
        <w:pStyle w:val="ConsPlusTitle"/>
        <w:jc w:val="center"/>
      </w:pPr>
    </w:p>
    <w:p w:rsidR="00C57DFD" w:rsidRDefault="00C57DFD">
      <w:pPr>
        <w:pStyle w:val="ConsPlusTitle"/>
        <w:jc w:val="center"/>
      </w:pPr>
      <w:r>
        <w:t>ОБ УСТАНОВЛЕНИИ КОЭФФИЦИЕНТОВ К1 И К2, НЕОБХОДИМЫХ</w:t>
      </w:r>
    </w:p>
    <w:p w:rsidR="00C57DFD" w:rsidRDefault="00C57DFD">
      <w:pPr>
        <w:pStyle w:val="ConsPlusTitle"/>
        <w:jc w:val="center"/>
      </w:pPr>
      <w:r>
        <w:t>ДЛЯ ОПРЕДЕЛЕНИЯ РАЗМЕРА АРЕНДНОЙ ПЛАТЫ ПРИ АРЕНДЕ</w:t>
      </w:r>
    </w:p>
    <w:p w:rsidR="00C57DFD" w:rsidRDefault="00C57DFD">
      <w:pPr>
        <w:pStyle w:val="ConsPlusTitle"/>
        <w:jc w:val="center"/>
      </w:pPr>
      <w:r>
        <w:t>ЗЕМЕЛЬНЫХ УЧАСТКОВ</w:t>
      </w:r>
    </w:p>
    <w:p w:rsidR="00C57DFD" w:rsidRDefault="00C57DFD">
      <w:pPr>
        <w:pStyle w:val="ConsPlusNormal"/>
        <w:jc w:val="center"/>
      </w:pPr>
    </w:p>
    <w:p w:rsidR="00C57DFD" w:rsidRDefault="00C57DFD">
      <w:pPr>
        <w:pStyle w:val="ConsPlusNormal"/>
        <w:ind w:firstLine="540"/>
        <w:jc w:val="both"/>
      </w:pPr>
      <w:r>
        <w:t xml:space="preserve">В целях определения арендной платы при аренде земельных участков на территории закрытого административно-территориального образования город Зеленогорск, учитывая, что для расчета размера арендной платы применяется кадастровая стоимость земельных участков, на основании </w:t>
      </w:r>
      <w:hyperlink r:id="rId4" w:history="1">
        <w:r>
          <w:rPr>
            <w:color w:val="0000FF"/>
          </w:rPr>
          <w:t>статьи 65</w:t>
        </w:r>
      </w:hyperlink>
      <w:r>
        <w:t xml:space="preserve"> Земельного кодекса Российской Федерации, </w:t>
      </w:r>
      <w:hyperlink r:id="rId5" w:history="1">
        <w:r>
          <w:rPr>
            <w:color w:val="0000FF"/>
          </w:rPr>
          <w:t>статьи 12</w:t>
        </w:r>
      </w:hyperlink>
      <w:r>
        <w:t xml:space="preserve"> Закона Красноярского края от 04.12.2008 N 7-2542 "О регулировании земельных отношений в Красноярском крае",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19.12.2008 N 250-п "Об утверждении результатов государственной кадастровой оценки земель населенных пунктов Красноярского края", руководствуясь </w:t>
      </w:r>
      <w:hyperlink r:id="rId7" w:history="1">
        <w:r>
          <w:rPr>
            <w:color w:val="0000FF"/>
          </w:rPr>
          <w:t>Уставом</w:t>
        </w:r>
      </w:hyperlink>
      <w:r>
        <w:t xml:space="preserve"> города Зеленогорска, Совет депутатов ЗАТО город Зеленогорск решил:</w:t>
      </w:r>
    </w:p>
    <w:p w:rsidR="00C57DFD" w:rsidRDefault="00C57DFD">
      <w:pPr>
        <w:pStyle w:val="ConsPlusNormal"/>
        <w:spacing w:before="220"/>
        <w:ind w:firstLine="540"/>
        <w:jc w:val="both"/>
      </w:pPr>
      <w:r>
        <w:t>1. Установить следующие коэффициенты, необходимые для определения размера арендной платы при аренде земельных участков, находящихся в муниципальной собственности, и земельных участков, государственная собственность на которые не разграничена:</w:t>
      </w:r>
    </w:p>
    <w:p w:rsidR="00C57DFD" w:rsidRDefault="00C57DFD">
      <w:pPr>
        <w:pStyle w:val="ConsPlusNormal"/>
        <w:spacing w:before="220"/>
        <w:ind w:firstLine="540"/>
        <w:jc w:val="both"/>
      </w:pPr>
      <w:r>
        <w:t xml:space="preserve">- </w:t>
      </w:r>
      <w:hyperlink w:anchor="P35" w:history="1">
        <w:r>
          <w:rPr>
            <w:color w:val="0000FF"/>
          </w:rPr>
          <w:t>коэффициенты К1</w:t>
        </w:r>
      </w:hyperlink>
      <w:r>
        <w:t>, учитывающие вид разрешенного использования, согласно приложению к настоящему Решению;</w:t>
      </w:r>
    </w:p>
    <w:p w:rsidR="00C57DFD" w:rsidRDefault="00C57DFD">
      <w:pPr>
        <w:pStyle w:val="ConsPlusNormal"/>
        <w:spacing w:before="220"/>
        <w:ind w:firstLine="540"/>
        <w:jc w:val="both"/>
      </w:pPr>
      <w:r>
        <w:t>- коэффициент К2, учитывающий категории арендаторов, равный 1.</w:t>
      </w:r>
    </w:p>
    <w:p w:rsidR="00C57DFD" w:rsidRDefault="00C57DFD">
      <w:pPr>
        <w:pStyle w:val="ConsPlusNormal"/>
        <w:spacing w:before="220"/>
        <w:ind w:firstLine="540"/>
        <w:jc w:val="both"/>
      </w:pPr>
      <w:r>
        <w:t>2. Копию настоящего Решения направить в министерство экономики и регионального развития Красноярского края.</w:t>
      </w:r>
    </w:p>
    <w:p w:rsidR="00C57DFD" w:rsidRDefault="00C57DFD">
      <w:pPr>
        <w:pStyle w:val="ConsPlusNormal"/>
        <w:spacing w:before="220"/>
        <w:ind w:firstLine="540"/>
        <w:jc w:val="both"/>
      </w:pPr>
      <w:r>
        <w:t>3. Настоящее Решение вступает в силу с 01.01.2010 и подлежит опубликованию в газете "Панорама".</w:t>
      </w:r>
    </w:p>
    <w:p w:rsidR="00C57DFD" w:rsidRDefault="00C57DFD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8" w:history="1">
        <w:r>
          <w:rPr>
            <w:color w:val="0000FF"/>
          </w:rPr>
          <w:t>Решение</w:t>
        </w:r>
      </w:hyperlink>
      <w:r>
        <w:t xml:space="preserve"> Совета депутатов ЗАТО город Зеленогорск от 29.05.2008 N 41-433р "Об установлении коэффициентов К1 и К2, необходимых для определения размера арендной платы за использование земельных участков, государственная собственность на которые не разграничена".</w:t>
      </w:r>
    </w:p>
    <w:p w:rsidR="00C57DFD" w:rsidRDefault="00C57DFD">
      <w:pPr>
        <w:pStyle w:val="ConsPlusNormal"/>
        <w:spacing w:before="220"/>
        <w:ind w:firstLine="540"/>
        <w:jc w:val="both"/>
      </w:pPr>
      <w:r>
        <w:t>5. Контроль за выполнением настоящего Решения возложить на постоянную комиссию по бюджету и финансам (председатель - Ремезов П.И.).</w:t>
      </w:r>
    </w:p>
    <w:p w:rsidR="00C57DFD" w:rsidRDefault="00C57DFD">
      <w:pPr>
        <w:pStyle w:val="ConsPlusNormal"/>
        <w:ind w:firstLine="540"/>
        <w:jc w:val="both"/>
      </w:pPr>
    </w:p>
    <w:p w:rsidR="00C57DFD" w:rsidRDefault="00C57DFD">
      <w:pPr>
        <w:pStyle w:val="ConsPlusNormal"/>
        <w:jc w:val="right"/>
      </w:pPr>
      <w:r>
        <w:t>Глава</w:t>
      </w:r>
    </w:p>
    <w:p w:rsidR="00C57DFD" w:rsidRDefault="00C57DFD">
      <w:pPr>
        <w:pStyle w:val="ConsPlusNormal"/>
        <w:jc w:val="right"/>
      </w:pPr>
      <w:r>
        <w:t>ЗАТО г. Зеленогорск</w:t>
      </w:r>
    </w:p>
    <w:p w:rsidR="00C57DFD" w:rsidRDefault="00C57DFD">
      <w:pPr>
        <w:pStyle w:val="ConsPlusNormal"/>
        <w:jc w:val="right"/>
      </w:pPr>
      <w:r>
        <w:t>А.МОРГУНОВ</w:t>
      </w:r>
    </w:p>
    <w:p w:rsidR="00C57DFD" w:rsidRDefault="00C57DFD">
      <w:pPr>
        <w:pStyle w:val="ConsPlusNormal"/>
        <w:jc w:val="right"/>
      </w:pPr>
    </w:p>
    <w:p w:rsidR="00C57DFD" w:rsidRDefault="00C57DFD">
      <w:pPr>
        <w:pStyle w:val="ConsPlusNormal"/>
        <w:jc w:val="right"/>
      </w:pPr>
    </w:p>
    <w:p w:rsidR="00C57DFD" w:rsidRDefault="00C57DFD">
      <w:pPr>
        <w:pStyle w:val="ConsPlusNormal"/>
        <w:jc w:val="right"/>
      </w:pPr>
    </w:p>
    <w:p w:rsidR="00C57DFD" w:rsidRDefault="00C57DFD">
      <w:pPr>
        <w:pStyle w:val="ConsPlusNormal"/>
        <w:jc w:val="right"/>
      </w:pPr>
    </w:p>
    <w:p w:rsidR="00C57DFD" w:rsidRDefault="00C57DFD">
      <w:pPr>
        <w:pStyle w:val="ConsPlusNormal"/>
        <w:jc w:val="right"/>
      </w:pPr>
    </w:p>
    <w:p w:rsidR="00C57DFD" w:rsidRDefault="00C57DFD">
      <w:pPr>
        <w:pStyle w:val="ConsPlusNormal"/>
        <w:jc w:val="right"/>
        <w:outlineLvl w:val="0"/>
      </w:pPr>
      <w:r>
        <w:lastRenderedPageBreak/>
        <w:t>Приложение</w:t>
      </w:r>
    </w:p>
    <w:p w:rsidR="00C57DFD" w:rsidRDefault="00C57DFD">
      <w:pPr>
        <w:pStyle w:val="ConsPlusNormal"/>
        <w:jc w:val="right"/>
      </w:pPr>
      <w:r>
        <w:t>к Решению</w:t>
      </w:r>
    </w:p>
    <w:p w:rsidR="00C57DFD" w:rsidRDefault="00C57DFD">
      <w:pPr>
        <w:pStyle w:val="ConsPlusNormal"/>
        <w:jc w:val="right"/>
      </w:pPr>
      <w:r>
        <w:t>Совета депутатов</w:t>
      </w:r>
    </w:p>
    <w:p w:rsidR="00C57DFD" w:rsidRDefault="00C57DFD">
      <w:pPr>
        <w:pStyle w:val="ConsPlusNormal"/>
        <w:jc w:val="right"/>
      </w:pPr>
      <w:r>
        <w:t>ЗАТО г. Зеленогорск</w:t>
      </w:r>
    </w:p>
    <w:p w:rsidR="00C57DFD" w:rsidRDefault="00C57DFD">
      <w:pPr>
        <w:pStyle w:val="ConsPlusNormal"/>
        <w:jc w:val="right"/>
      </w:pPr>
      <w:r>
        <w:t>от 26 ноября 2009 г. N 59-582р</w:t>
      </w:r>
    </w:p>
    <w:p w:rsidR="00C57DFD" w:rsidRDefault="00C57DFD">
      <w:pPr>
        <w:pStyle w:val="ConsPlusNormal"/>
        <w:jc w:val="right"/>
      </w:pPr>
    </w:p>
    <w:p w:rsidR="00C57DFD" w:rsidRDefault="00C57DFD">
      <w:pPr>
        <w:pStyle w:val="ConsPlusNormal"/>
        <w:jc w:val="center"/>
      </w:pPr>
      <w:bookmarkStart w:id="1" w:name="P35"/>
      <w:bookmarkEnd w:id="1"/>
      <w:r>
        <w:t>КОЭФФИЦИЕНТЫ К1,</w:t>
      </w:r>
    </w:p>
    <w:p w:rsidR="00C57DFD" w:rsidRDefault="00C57DFD">
      <w:pPr>
        <w:pStyle w:val="ConsPlusNormal"/>
        <w:jc w:val="center"/>
      </w:pPr>
      <w:r>
        <w:t>УЧИТЫВАЮЩИЕ ВИД РАЗРЕШЕННОГО ИСПОЛЬЗОВАНИЯ</w:t>
      </w:r>
    </w:p>
    <w:p w:rsidR="00C57DFD" w:rsidRDefault="00C57DFD">
      <w:pPr>
        <w:pStyle w:val="ConsPlusNormal"/>
        <w:jc w:val="center"/>
      </w:pPr>
      <w:r>
        <w:t>ЗЕМЕЛЬНЫХ УЧАСТКОВ</w:t>
      </w:r>
    </w:p>
    <w:p w:rsidR="00C57DFD" w:rsidRDefault="00C57DFD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720"/>
        <w:gridCol w:w="4200"/>
        <w:gridCol w:w="960"/>
      </w:tblGrid>
      <w:tr w:rsidR="00C57DFD">
        <w:trPr>
          <w:trHeight w:val="240"/>
        </w:trPr>
        <w:tc>
          <w:tcPr>
            <w:tcW w:w="480" w:type="dxa"/>
          </w:tcPr>
          <w:p w:rsidR="00C57DFD" w:rsidRDefault="00C57DFD">
            <w:pPr>
              <w:pStyle w:val="ConsPlusNonformat"/>
              <w:jc w:val="both"/>
            </w:pPr>
          </w:p>
        </w:tc>
        <w:tc>
          <w:tcPr>
            <w:tcW w:w="3720" w:type="dxa"/>
          </w:tcPr>
          <w:p w:rsidR="00C57DFD" w:rsidRDefault="00C57DFD">
            <w:pPr>
              <w:pStyle w:val="ConsPlusNonformat"/>
              <w:jc w:val="both"/>
            </w:pPr>
            <w:r>
              <w:t xml:space="preserve">     Наименование вида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 разрешенного использования  </w:t>
            </w:r>
          </w:p>
        </w:tc>
        <w:tc>
          <w:tcPr>
            <w:tcW w:w="4200" w:type="dxa"/>
          </w:tcPr>
          <w:p w:rsidR="00C57DFD" w:rsidRDefault="00C57DFD">
            <w:pPr>
              <w:pStyle w:val="ConsPlusNonformat"/>
              <w:jc w:val="both"/>
            </w:pPr>
            <w:r>
              <w:t xml:space="preserve">    Состав вида разрешенного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          использования          </w:t>
            </w:r>
          </w:p>
        </w:tc>
        <w:tc>
          <w:tcPr>
            <w:tcW w:w="960" w:type="dxa"/>
          </w:tcPr>
          <w:p w:rsidR="00C57DFD" w:rsidRDefault="00C57DFD">
            <w:pPr>
              <w:pStyle w:val="ConsPlusNonformat"/>
              <w:jc w:val="both"/>
            </w:pPr>
            <w:r>
              <w:t xml:space="preserve">  К1  </w:t>
            </w:r>
          </w:p>
        </w:tc>
      </w:tr>
      <w:tr w:rsidR="00C57DFD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1 </w:t>
            </w:r>
          </w:p>
        </w:tc>
        <w:tc>
          <w:tcPr>
            <w:tcW w:w="372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предназначенные для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размещения домов  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многоэтажной жилой застройки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 для размещения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малоэтажных жилых домов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0,003 </w:t>
            </w:r>
          </w:p>
        </w:tc>
      </w:tr>
      <w:tr w:rsidR="00C57DFD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2 </w:t>
            </w:r>
          </w:p>
        </w:tc>
        <w:tc>
          <w:tcPr>
            <w:tcW w:w="372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предназначенные для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размещения домов  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индивидуальной жилой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застройки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0,003 </w:t>
            </w:r>
          </w:p>
        </w:tc>
      </w:tr>
      <w:tr w:rsidR="00C57DFD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3 </w:t>
            </w:r>
          </w:p>
        </w:tc>
        <w:tc>
          <w:tcPr>
            <w:tcW w:w="372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предназначенные для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размещения гаражей и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автостоянок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 индивидуальных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и кооперативных гаражей (кроме   </w:t>
            </w:r>
          </w:p>
          <w:p w:rsidR="00C57DFD" w:rsidRDefault="00C57DFD">
            <w:pPr>
              <w:pStyle w:val="ConsPlusNonformat"/>
              <w:jc w:val="both"/>
            </w:pPr>
            <w:r>
              <w:t>предпринимательской деятельности)</w:t>
            </w: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0,001 </w:t>
            </w:r>
          </w:p>
        </w:tc>
      </w:tr>
      <w:tr w:rsidR="00C57DFD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4 </w:t>
            </w:r>
          </w:p>
        </w:tc>
        <w:tc>
          <w:tcPr>
            <w:tcW w:w="372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предназначенные для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садоводства и огородничества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0,003 </w:t>
            </w:r>
          </w:p>
        </w:tc>
      </w:tr>
      <w:tr w:rsidR="00C57DFD">
        <w:trPr>
          <w:trHeight w:val="240"/>
        </w:trPr>
        <w:tc>
          <w:tcPr>
            <w:tcW w:w="480" w:type="dxa"/>
            <w:vMerge w:val="restart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5 </w:t>
            </w:r>
          </w:p>
        </w:tc>
        <w:tc>
          <w:tcPr>
            <w:tcW w:w="3720" w:type="dxa"/>
            <w:vMerge w:val="restart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предназначенные для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размещения объектов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торговли, общественного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питания и бытового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обслуживания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 для размещения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объектов торговли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0,02  </w:t>
            </w:r>
          </w:p>
        </w:tc>
      </w:tr>
      <w:tr w:rsidR="00C57DFD">
        <w:tc>
          <w:tcPr>
            <w:tcW w:w="36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360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 для размещения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объектов обслуживания и ремонта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транспортных средств, платных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автостоянок      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0,012 </w:t>
            </w:r>
          </w:p>
        </w:tc>
      </w:tr>
      <w:tr w:rsidR="00C57DFD">
        <w:tc>
          <w:tcPr>
            <w:tcW w:w="36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360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 для объектов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общественного питания и бытового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обслуживания     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>0,0022</w:t>
            </w:r>
          </w:p>
        </w:tc>
      </w:tr>
      <w:tr w:rsidR="00C57DFD">
        <w:tc>
          <w:tcPr>
            <w:tcW w:w="36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360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 для размещения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АЗС              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0,019 </w:t>
            </w:r>
          </w:p>
        </w:tc>
      </w:tr>
      <w:tr w:rsidR="00C57DFD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6 </w:t>
            </w:r>
          </w:p>
        </w:tc>
        <w:tc>
          <w:tcPr>
            <w:tcW w:w="372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предназначенные для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размещения гостиниц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0,01  </w:t>
            </w:r>
          </w:p>
        </w:tc>
      </w:tr>
      <w:tr w:rsidR="00C57DFD">
        <w:trPr>
          <w:trHeight w:val="240"/>
        </w:trPr>
        <w:tc>
          <w:tcPr>
            <w:tcW w:w="480" w:type="dxa"/>
            <w:vMerge w:val="restart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7 </w:t>
            </w:r>
          </w:p>
        </w:tc>
        <w:tc>
          <w:tcPr>
            <w:tcW w:w="3720" w:type="dxa"/>
            <w:vMerge w:val="restart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предназначенные для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размещения административных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и офисных зданий, объектов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образования, науки,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здравоохранения и 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социального обеспечения,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физической культуры и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спорта, культуры, искусства,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религии   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0,004 </w:t>
            </w:r>
          </w:p>
        </w:tc>
      </w:tr>
      <w:tr w:rsidR="00C57DFD">
        <w:tc>
          <w:tcPr>
            <w:tcW w:w="36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360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 организаций,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занимающихся банковской и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страховой деятельностью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0,095 </w:t>
            </w:r>
          </w:p>
        </w:tc>
      </w:tr>
      <w:tr w:rsidR="00C57DFD">
        <w:trPr>
          <w:trHeight w:val="240"/>
        </w:trPr>
        <w:tc>
          <w:tcPr>
            <w:tcW w:w="480" w:type="dxa"/>
            <w:vMerge w:val="restart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8 </w:t>
            </w:r>
          </w:p>
        </w:tc>
        <w:tc>
          <w:tcPr>
            <w:tcW w:w="3720" w:type="dxa"/>
            <w:vMerge w:val="restart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          </w:t>
            </w:r>
          </w:p>
          <w:p w:rsidR="00C57DFD" w:rsidRDefault="00C57DFD">
            <w:pPr>
              <w:pStyle w:val="ConsPlusNonformat"/>
              <w:jc w:val="both"/>
            </w:pPr>
            <w:r>
              <w:lastRenderedPageBreak/>
              <w:t xml:space="preserve">предназначенные для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размещения производственных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и административных зданий,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строений, сооружений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промышленности,   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коммунального хозяйства,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материально-технического,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продовольственного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снабжения, сбыта и заготовок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0,006 </w:t>
            </w:r>
          </w:p>
        </w:tc>
      </w:tr>
      <w:tr w:rsidR="00C57DFD">
        <w:tc>
          <w:tcPr>
            <w:tcW w:w="36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360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 объектов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коммунального хозяйства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0,003 </w:t>
            </w:r>
          </w:p>
        </w:tc>
      </w:tr>
      <w:tr w:rsidR="00C57DFD">
        <w:tc>
          <w:tcPr>
            <w:tcW w:w="36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360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 кладбищ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     </w:t>
            </w:r>
          </w:p>
        </w:tc>
      </w:tr>
      <w:tr w:rsidR="00C57DFD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9 </w:t>
            </w:r>
          </w:p>
        </w:tc>
        <w:tc>
          <w:tcPr>
            <w:tcW w:w="372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предназначенные для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размещения электростанций,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обслуживающих их сооружений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и объектов   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0,44  </w:t>
            </w:r>
          </w:p>
        </w:tc>
      </w:tr>
      <w:tr w:rsidR="00C57DFD">
        <w:trPr>
          <w:trHeight w:val="240"/>
        </w:trPr>
        <w:tc>
          <w:tcPr>
            <w:tcW w:w="480" w:type="dxa"/>
            <w:vMerge w:val="restart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>10</w:t>
            </w:r>
          </w:p>
        </w:tc>
        <w:tc>
          <w:tcPr>
            <w:tcW w:w="3720" w:type="dxa"/>
            <w:vMerge w:val="restart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предназначенные для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разработки полезных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ископаемых, размещения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железнодорожных путей,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автомобильных дорог,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трубопроводов, кабельных,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радиорелейных и воздушных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линий связи и линий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радиофикации, воздушных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линий электропередачи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0,008 </w:t>
            </w:r>
          </w:p>
        </w:tc>
      </w:tr>
      <w:tr w:rsidR="00C57DFD">
        <w:tc>
          <w:tcPr>
            <w:tcW w:w="36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360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 для разработки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полезных ископаемых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0,002 </w:t>
            </w:r>
          </w:p>
        </w:tc>
      </w:tr>
      <w:tr w:rsidR="00C57DFD">
        <w:tc>
          <w:tcPr>
            <w:tcW w:w="36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3600" w:type="dxa"/>
            <w:vMerge/>
            <w:tcBorders>
              <w:top w:val="nil"/>
            </w:tcBorders>
          </w:tcPr>
          <w:p w:rsidR="00C57DFD" w:rsidRDefault="00C57DFD"/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 инфраструктуры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спутниковой связи                </w:t>
            </w: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0,012 </w:t>
            </w:r>
          </w:p>
        </w:tc>
      </w:tr>
      <w:tr w:rsidR="00C57DFD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>11</w:t>
            </w:r>
          </w:p>
        </w:tc>
        <w:tc>
          <w:tcPr>
            <w:tcW w:w="372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занятые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городскими лесами, скверами,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парками, городскими садами  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4,5   </w:t>
            </w:r>
          </w:p>
        </w:tc>
      </w:tr>
      <w:tr w:rsidR="00C57DFD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>12</w:t>
            </w:r>
          </w:p>
        </w:tc>
        <w:tc>
          <w:tcPr>
            <w:tcW w:w="372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Земельные участки, 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предназначенные для  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сельскохозяйственного        </w:t>
            </w:r>
          </w:p>
          <w:p w:rsidR="00C57DFD" w:rsidRDefault="00C57DFD">
            <w:pPr>
              <w:pStyle w:val="ConsPlusNonformat"/>
              <w:jc w:val="both"/>
            </w:pPr>
            <w:r>
              <w:t xml:space="preserve">использования               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0,003 </w:t>
            </w:r>
          </w:p>
        </w:tc>
      </w:tr>
      <w:tr w:rsidR="00C57DFD">
        <w:trPr>
          <w:trHeight w:val="240"/>
        </w:trPr>
        <w:tc>
          <w:tcPr>
            <w:tcW w:w="48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>13</w:t>
            </w:r>
          </w:p>
        </w:tc>
        <w:tc>
          <w:tcPr>
            <w:tcW w:w="372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Прочие земельные участки     </w:t>
            </w:r>
          </w:p>
        </w:tc>
        <w:tc>
          <w:tcPr>
            <w:tcW w:w="420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</w:p>
        </w:tc>
        <w:tc>
          <w:tcPr>
            <w:tcW w:w="960" w:type="dxa"/>
            <w:tcBorders>
              <w:top w:val="nil"/>
            </w:tcBorders>
          </w:tcPr>
          <w:p w:rsidR="00C57DFD" w:rsidRDefault="00C57DFD">
            <w:pPr>
              <w:pStyle w:val="ConsPlusNonformat"/>
              <w:jc w:val="both"/>
            </w:pPr>
            <w:r>
              <w:t xml:space="preserve">0,015 </w:t>
            </w:r>
          </w:p>
        </w:tc>
      </w:tr>
    </w:tbl>
    <w:p w:rsidR="00C57DFD" w:rsidRDefault="00C57DFD">
      <w:pPr>
        <w:pStyle w:val="ConsPlusNormal"/>
        <w:ind w:firstLine="540"/>
        <w:jc w:val="both"/>
      </w:pPr>
    </w:p>
    <w:p w:rsidR="00C57DFD" w:rsidRDefault="00C57DFD">
      <w:pPr>
        <w:pStyle w:val="ConsPlusNormal"/>
        <w:ind w:firstLine="540"/>
        <w:jc w:val="both"/>
      </w:pPr>
    </w:p>
    <w:p w:rsidR="00C57DFD" w:rsidRDefault="00C57D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A44" w:rsidRDefault="00122A44"/>
    <w:sectPr w:rsidR="00122A44" w:rsidSect="0059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FD"/>
    <w:rsid w:val="00122A44"/>
    <w:rsid w:val="00C5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FF36E4-7CE8-4FC7-A15C-1BFE15F0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7D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7D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7D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607FE19B9B9EB93804D5A597355B0BA2655E9ECD683A61A8E8B57AA36983C5E93BDFE3A27B375D3D683C7EB4981D0A3A1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607FE19B9B9EB93804D5A597355B0BA2655E9ECF643862A3E3E870AB308FC7EE3480E6A56A375F3C763C7AA991495AE2F06ED654FFF6BCD8357CBD3210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607FE19B9B9EB93804D5A597355B0BA2655E9EC96D3764A3E8B57AA36983C5E93BDFE3A27B375D3D683C7EB4981D0A3A1FE" TargetMode="External"/><Relationship Id="rId5" Type="http://schemas.openxmlformats.org/officeDocument/2006/relationships/hyperlink" Target="consultantplus://offline/ref=19607FE19B9B9EB93804D5A597355B0BA2655E9ECC6F3A63ABE7E870AB308FC7EE3480E6A56A375C3C7D682AEECF1008A7BB63D04BE3F6B83C1FE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19607FE19B9B9EB93804CBA881590404A26E009BC66D3532F7B7EE27F4608992AE7486B3E62E3F58397D682AEECF1008A7BB63D04BE3F6B83C1F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Юшманова Елена Васильевна</dc:creator>
  <cp:keywords/>
  <dc:description/>
  <cp:lastModifiedBy>Юшманова Елена Васильевна</cp:lastModifiedBy>
  <cp:revision>1</cp:revision>
  <dcterms:created xsi:type="dcterms:W3CDTF">2019-05-31T04:53:00Z</dcterms:created>
  <dcterms:modified xsi:type="dcterms:W3CDTF">2019-05-31T04:56:00Z</dcterms:modified>
</cp:coreProperties>
</file>