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F4" w:rsidRPr="00901D93" w:rsidRDefault="006622F4" w:rsidP="0056497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Основные показатели развития малого и среднего предприним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ательства на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Зеленогорск в 20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EA64B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4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году</w:t>
      </w:r>
    </w:p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6622F4" w:rsidRPr="00901D93" w:rsidRDefault="006622F4" w:rsidP="007327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Показатели развития малого и среднего предпринимательства на территории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Зеленогорск представлены на основе 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данных Единого реестра субъектов малого и среднего предпринимательства Федеральной налоговой службы Российской Федерации, а также с использованием статистических данных, представленных отделом статистики МКУ «Центр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закупок, предпринимательства и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обеспечения деятельности ОМС»,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по состоянию на 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01.01.20</w:t>
      </w:r>
      <w:r w:rsidR="00F4640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6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6622F4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 данным Единого реестра субъектов малого и среднего предпринимательства (далее – МСП) на 1 января 2026 года в городе Зеленогорске зарегистрировано 1 644 субъекта МСП, что на 1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36 единиц больше по сравнению с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предыдущим годом (рост составил 9 %).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Структура МСП распределилась следующим образом: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bookmarkStart w:id="0" w:name="_GoBack"/>
      <w:bookmarkEnd w:id="0"/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1 330 индивидуальных предпринимателей (+143 ед., рост 12 %);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308 малых предприятий (-7 ед., снижение на 2,2%);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 средних предприятий (без изменений).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Доля индивидуальн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ых предпринимателей достигла 81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 от общего числа субъектов МСП, что на 2,2 процентных пункта выше показателя предыдущего года. Это подчеркивает смещение структуры МСП в сторону индивидуальных предпринимателей. Из 1 330 предпринимателей 24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 (18,6 %) выбрали налог на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профессиональный доход, который позволяет платить от 4 % до 6 % с доходов при условии, что годовой доход не превышает 2,4 млн. рублей. Такой выбор обычно делают те, кто ведет небольшой бизнес без найма сотрудников и стремится снизить налоговую нагрузку при сохранении легального статуса.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Среди вновь созданных в 2025 году субъектов МСП 25 % заняты в сфере розничной торговли. Это указывает на сохраняющуюся привлекательность торгового сектора для начинающих предпринимателей.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Основные тенденции: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1)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Сокращение малых предприятий. 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Число малых предприятий продолжает снижаться, однако темп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 падения остаются умеренными (-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2,2%). Это может быть связано с: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ужесточением требований к критериям отнесения к малым предприятиям;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переходом части компаний в категорию ИП или средних предприятий;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естественной ротацией (ликвидации убыточных или неэффективных предприятий).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2)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Стабильность средних предприятий.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Количество средних предприятий не изменилось, несмотря на перетоки между категориями. 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3)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Рост числа индивидуальных предпринимателей.</w:t>
      </w:r>
    </w:p>
    <w:p w:rsidR="009F15A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Прирост количества индивидуальн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ых предпринимателей на 12% (143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ед.)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–</w:t>
      </w:r>
      <w:r w:rsidR="009F15A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наиболее заметная позитивная динамика. 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Ключевые факторы: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упрощенные процедуры ведения предпринимательской деятельности;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специальные налоговые режимы (например, патентная система, УСН);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сокращенная отчетность для индивидуальных предпринимателей;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низкий порог входа в бизнес (меньшие 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тартовые затраты по сравнению с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юридическими лицами).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Наблюдаемые тенденции согласуются с общероссийской динамикой развития малого бизнеса:</w:t>
      </w:r>
    </w:p>
    <w:p w:rsidR="008D228E" w:rsidRPr="008D228E" w:rsidRDefault="009F15A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рост доли индивидуальных предпринимателей характерен для многих регионов Российской Федерации, где упрощенные режимы налогообложения стимулируют самозанятость;</w:t>
      </w:r>
    </w:p>
    <w:p w:rsidR="008D228E" w:rsidRPr="008D228E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умеренное сокращение малых предприятий отражает общую реструктуризацию сектора: часть компаний «вырастает» в средний бизнес, другие переходят в индивидуальные предприниматели или ликвидируются;</w:t>
      </w:r>
    </w:p>
    <w:p w:rsidR="001A173B" w:rsidRDefault="008D228E" w:rsidP="008D2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lang w:eastAsia="ru-RU"/>
        </w:rPr>
      </w:pP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стабильность среднего бизнеса на локальном уровне соответствует федеральной картине, где эта категория остается относительно устойчивой, но менее динамичной по сравнению с индивидуальными предпринимателями.</w:t>
      </w:r>
    </w:p>
    <w:p w:rsidR="008D228E" w:rsidRPr="00901D93" w:rsidRDefault="008D228E" w:rsidP="008D2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07372619" wp14:editId="1A575729">
            <wp:extent cx="5910580" cy="3167406"/>
            <wp:effectExtent l="0" t="0" r="1397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130C" w:rsidRDefault="001F130C" w:rsidP="001A1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28E" w:rsidRPr="008D228E" w:rsidRDefault="008D228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Отраслевая структура субъектов МСП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Зеленогорска практически не 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изменилась: торговля по‑прежнему занимает лидирующие позиции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(579 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субъектов, или 35,2 % от общего количества), однако, ее доля постепенно сокращается 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она уменьшилась на 2,5 процентн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пункта. Это связано с 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усилением конкуренции со стороны крупных торговых сетей и маркетплейсов.</w:t>
      </w:r>
    </w:p>
    <w:p w:rsidR="008D228E" w:rsidRPr="008D228E" w:rsidRDefault="008D228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Наибольший прирост показали отрас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>ли, ориентированные на услуги и 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инновации: профессиональная и научно‑техническая деятельность (+33 %), логистика (+22,3 %), сфера информационных технологий (+21,9 %), а также образование (+23,8 %). В то же время в некоторых традиционных секторах отмечен спад: в гостинично‑ресторанном бизнесе количество субъектов снизилось на 4,7 %. В целом динамика свидетельствует о постепенной диверсификации в сфере деятельности МСП г. Зеленогорска с акцентом на сервис и высокотехнологичные направления.</w:t>
      </w:r>
    </w:p>
    <w:p w:rsidR="008D228E" w:rsidRPr="008D228E" w:rsidRDefault="008D228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отраслевой структуры вновь созданных субъектов МСП выявляет следующие приоритеты:</w:t>
      </w:r>
    </w:p>
    <w:p w:rsidR="008D228E" w:rsidRPr="008D228E" w:rsidRDefault="009F15A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торговля доминирует с долей 30 %, при этом заметная часть (31 субъект) ориентирована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дистанционные каналы продаж –</w:t>
      </w:r>
      <w:r w:rsidR="008D228E"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28E"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почтовую рассылку;</w:t>
      </w:r>
    </w:p>
    <w:p w:rsidR="008D228E" w:rsidRPr="008D228E" w:rsidRDefault="008D228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9F15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профессиональные услуги занимают 12 %: здесь лидируют рекламные агентства (17 ед.) и консультанты по управлению (12 ед.);</w:t>
      </w:r>
    </w:p>
    <w:p w:rsidR="008D228E" w:rsidRPr="008D228E" w:rsidRDefault="009F15A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IT и связь формируют 11 %: ключевыми сегментами стали обработка данных (12 ед.) и разработка ПО (10 ед.);</w:t>
      </w:r>
    </w:p>
    <w:p w:rsidR="001A173B" w:rsidRDefault="009F15AE" w:rsidP="009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логистика обеспечивает 10 %: основной вклад вносят грузовые автоперевозки (10 ед.) и услуги такси (9 ед.).</w:t>
      </w:r>
    </w:p>
    <w:p w:rsidR="008D228E" w:rsidRDefault="008D228E" w:rsidP="008D228E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2DBCAE7" wp14:editId="5A453884">
            <wp:extent cx="5939790" cy="3089910"/>
            <wp:effectExtent l="0" t="0" r="381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173B" w:rsidRDefault="001A173B" w:rsidP="001A17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2719" w:rsidRPr="00901D93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Информация о </w:t>
      </w:r>
      <w:r w:rsidR="00D11E0F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среднесписочной численности работников (без внешних совместителей) 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субъектов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 и среднего предпринимательства </w:t>
      </w: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 соответствии с их классификацией по в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ED7A59" w:rsidRDefault="00ED7A59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8D228E" w:rsidRPr="008D228E" w:rsidRDefault="008D228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 состоянию на 01.01.2026 в секторе малого и среднего предпринимательства города трудится 4 745 человек, что составляет 28% от общего числа работников всех предприятий и организаций.</w:t>
      </w:r>
    </w:p>
    <w:p w:rsidR="008D228E" w:rsidRPr="008D228E" w:rsidRDefault="008D228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За 2025 год отмечен рост занятости в секторе МСП на 359 человек.</w:t>
      </w:r>
    </w:p>
    <w:p w:rsidR="008D228E" w:rsidRPr="008D228E" w:rsidRDefault="008D228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Положительная динамика зафиксирована в следующих сферах:</w:t>
      </w:r>
    </w:p>
    <w:p w:rsidR="008D228E" w:rsidRPr="008D228E" w:rsidRDefault="009F15A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производственный сектор: увеличение на 195 человек;</w:t>
      </w:r>
    </w:p>
    <w:p w:rsidR="008D228E" w:rsidRPr="008D228E" w:rsidRDefault="009F15AE" w:rsidP="009F15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строительная отрасль: прирост 88 человек;</w:t>
      </w:r>
    </w:p>
    <w:p w:rsidR="008D228E" w:rsidRPr="008D228E" w:rsidRDefault="008D228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Отрицательная динамика наблюдается в следующих направлениях:</w:t>
      </w:r>
    </w:p>
    <w:p w:rsidR="008D228E" w:rsidRPr="008D228E" w:rsidRDefault="009F15A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торговая сфера: сокращение на 59 человек;</w:t>
      </w:r>
    </w:p>
    <w:p w:rsidR="00990915" w:rsidRDefault="009F15AE" w:rsidP="008D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- </w:t>
      </w:r>
      <w:r w:rsidR="008D228E" w:rsidRPr="008D228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операции с недвижимостью: уменьшение на 28 человек.</w:t>
      </w:r>
    </w:p>
    <w:p w:rsidR="00001CFD" w:rsidRDefault="00ED7A59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(</w:t>
      </w:r>
      <w:r w:rsidR="0099091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чел.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1835"/>
      </w:tblGrid>
      <w:tr w:rsidR="00BA23C4" w:rsidRPr="009F15AE" w:rsidTr="003E62BB">
        <w:trPr>
          <w:cantSplit/>
          <w:trHeight w:val="20"/>
          <w:tblHeader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9F15AE" w:rsidRDefault="005673D0" w:rsidP="008F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r w:rsidR="00BA23C4"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BA23C4" w:rsidRPr="009F15AE" w:rsidRDefault="00BA23C4" w:rsidP="008F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01.01.202</w:t>
            </w:r>
            <w:r w:rsidR="001F130C"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</w:tr>
      <w:tr w:rsidR="00BA23C4" w:rsidRPr="009F15AE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9F15AE" w:rsidRDefault="005673D0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r w:rsidR="00BA23C4"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реднесписочная численность работников, занятых в сфере малого и среднего бизнеса</w:t>
            </w:r>
          </w:p>
        </w:tc>
        <w:tc>
          <w:tcPr>
            <w:tcW w:w="982" w:type="pct"/>
            <w:shd w:val="clear" w:color="auto" w:fill="auto"/>
            <w:hideMark/>
          </w:tcPr>
          <w:p w:rsidR="00BA23C4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3 415</w:t>
            </w:r>
          </w:p>
        </w:tc>
      </w:tr>
      <w:tr w:rsidR="00BA23C4" w:rsidRPr="009F15AE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9F15AE" w:rsidRDefault="00BA23C4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2" w:type="pct"/>
            <w:shd w:val="clear" w:color="auto" w:fill="auto"/>
            <w:hideMark/>
          </w:tcPr>
          <w:p w:rsidR="00BA23C4" w:rsidRPr="009F15AE" w:rsidRDefault="00BA23C4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E62BB" w:rsidRPr="009F15AE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3E62BB" w:rsidRPr="009F15AE" w:rsidRDefault="005673D0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</w:t>
            </w:r>
            <w:r w:rsidR="003E62BB"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алых предприятий</w:t>
            </w:r>
          </w:p>
        </w:tc>
        <w:tc>
          <w:tcPr>
            <w:tcW w:w="982" w:type="pct"/>
            <w:shd w:val="clear" w:color="auto" w:fill="auto"/>
            <w:hideMark/>
          </w:tcPr>
          <w:p w:rsidR="003E62BB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1 484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821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365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192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295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152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226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166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48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</w:t>
            </w:r>
          </w:p>
        </w:tc>
      </w:tr>
      <w:tr w:rsidR="008F614A" w:rsidRPr="009F15AE" w:rsidTr="00547F94">
        <w:trPr>
          <w:cantSplit/>
          <w:trHeight w:val="20"/>
        </w:trPr>
        <w:tc>
          <w:tcPr>
            <w:tcW w:w="4018" w:type="pct"/>
            <w:shd w:val="clear" w:color="000000" w:fill="FFFFFF"/>
          </w:tcPr>
          <w:p w:rsidR="008F614A" w:rsidRPr="009F15AE" w:rsidRDefault="008F614A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14A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</w:tr>
      <w:tr w:rsidR="00BA23C4" w:rsidRPr="009F15AE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9F15AE" w:rsidRDefault="005673D0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r w:rsidR="00BA23C4" w:rsidRPr="009F15A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редних предприятий</w:t>
            </w:r>
          </w:p>
        </w:tc>
        <w:tc>
          <w:tcPr>
            <w:tcW w:w="982" w:type="pct"/>
            <w:shd w:val="clear" w:color="auto" w:fill="auto"/>
          </w:tcPr>
          <w:p w:rsidR="00BA23C4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962</w:t>
            </w:r>
          </w:p>
        </w:tc>
      </w:tr>
      <w:tr w:rsidR="003E62BB" w:rsidRPr="009F15AE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9F15AE" w:rsidRDefault="003E62BB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551</w:t>
            </w:r>
          </w:p>
        </w:tc>
      </w:tr>
      <w:tr w:rsidR="003E62BB" w:rsidRPr="009F15AE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  <w:hideMark/>
          </w:tcPr>
          <w:p w:rsidR="003E62BB" w:rsidRPr="009F15AE" w:rsidRDefault="003E62BB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201</w:t>
            </w:r>
          </w:p>
        </w:tc>
      </w:tr>
      <w:tr w:rsidR="003E62BB" w:rsidRPr="009F15AE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9F15AE" w:rsidRDefault="003E62BB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</w:tr>
      <w:tr w:rsidR="003E62BB" w:rsidRPr="009F15AE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9F15AE" w:rsidRDefault="003E62BB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205</w:t>
            </w:r>
          </w:p>
        </w:tc>
      </w:tr>
      <w:tr w:rsidR="00BA23C4" w:rsidRPr="009F15AE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</w:tcPr>
          <w:p w:rsidR="00BA23C4" w:rsidRPr="009F15AE" w:rsidRDefault="005673D0" w:rsidP="008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</w:t>
            </w:r>
            <w:r w:rsidR="00BA23C4"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индивидуальных предпринимателей</w:t>
            </w:r>
          </w:p>
        </w:tc>
        <w:tc>
          <w:tcPr>
            <w:tcW w:w="982" w:type="pct"/>
            <w:shd w:val="clear" w:color="auto" w:fill="auto"/>
          </w:tcPr>
          <w:p w:rsidR="00BA23C4" w:rsidRPr="009F15AE" w:rsidRDefault="008F614A" w:rsidP="008F6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F15A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969</w:t>
            </w:r>
          </w:p>
        </w:tc>
      </w:tr>
    </w:tbl>
    <w:p w:rsidR="000356A4" w:rsidRDefault="000356A4" w:rsidP="00A007EF">
      <w:pPr>
        <w:spacing w:after="0" w:line="240" w:lineRule="auto"/>
        <w:jc w:val="center"/>
        <w:rPr>
          <w:noProof/>
          <w:lang w:eastAsia="ru-RU"/>
        </w:rPr>
      </w:pPr>
    </w:p>
    <w:p w:rsidR="003E62BB" w:rsidRDefault="008F614A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B33009" wp14:editId="0370CD4B">
            <wp:extent cx="4795728" cy="3102811"/>
            <wp:effectExtent l="0" t="0" r="5080" b="25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1E8" w:rsidRPr="00901D93" w:rsidRDefault="00BF41E8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86FF4" w:rsidRDefault="00114825" w:rsidP="00B96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Среднемесячная заработная плата работников организаций малого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среднего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бизнеса в 202</w:t>
      </w:r>
      <w:r w:rsidR="00C547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составила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54771" w:rsidRPr="00C547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46 376,79</w:t>
      </w:r>
      <w:r w:rsidR="00A65CD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86FF4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</w:t>
      </w:r>
      <w:r w:rsidR="00192EC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79 004,10</w:t>
      </w:r>
      <w:r w:rsidR="00BA23C4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963E9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соответственно. </w:t>
      </w:r>
    </w:p>
    <w:p w:rsidR="00114825" w:rsidRPr="00901D93" w:rsidRDefault="00114825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8F614A" w:rsidRDefault="008F614A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8F614A" w:rsidRDefault="008F614A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8F614A" w:rsidRDefault="008F614A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8F614A" w:rsidRDefault="008F614A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Информация об обороте субъект</w:t>
      </w:r>
      <w:r w:rsidR="00CC42BB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</w:t>
      </w:r>
      <w:r w:rsidR="0096150C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 среднего предпринимательства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в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соответствии с их классификацией по в</w:t>
      </w:r>
      <w:r w:rsidR="003F3C6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990915" w:rsidRPr="00901D93" w:rsidRDefault="00990915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C28F4" w:rsidRPr="00901D93" w:rsidRDefault="00192EC4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млн</w:t>
      </w:r>
      <w:r w:rsidR="005921ED" w:rsidRPr="00BB37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5"/>
        <w:gridCol w:w="1929"/>
      </w:tblGrid>
      <w:tr w:rsidR="00F42AC3" w:rsidRPr="00BB3739" w:rsidTr="00F42AC3">
        <w:trPr>
          <w:cantSplit/>
          <w:trHeight w:val="20"/>
          <w:tblHeader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19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2" w:type="pct"/>
            <w:shd w:val="clear" w:color="000000" w:fill="FFFFFF"/>
            <w:vAlign w:val="center"/>
            <w:hideMark/>
          </w:tcPr>
          <w:p w:rsidR="00F42AC3" w:rsidRPr="00BB3739" w:rsidRDefault="00F42AC3" w:rsidP="0019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192E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42AC3" w:rsidRPr="00F42AC3" w:rsidTr="009E378A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19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Оборот субъектов малого и среднего предпринимательства</w:t>
            </w:r>
          </w:p>
        </w:tc>
        <w:tc>
          <w:tcPr>
            <w:tcW w:w="1032" w:type="pct"/>
            <w:shd w:val="clear" w:color="auto" w:fill="auto"/>
            <w:hideMark/>
          </w:tcPr>
          <w:p w:rsidR="00F42AC3" w:rsidRPr="00F42AC3" w:rsidRDefault="00192EC4" w:rsidP="0019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92EC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8 687,4</w:t>
            </w:r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19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19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92EC4" w:rsidRPr="00F42AC3" w:rsidTr="00C7682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192EC4" w:rsidRPr="00F42AC3" w:rsidRDefault="00192EC4" w:rsidP="0019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</w:t>
            </w:r>
            <w:r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алых предприятий: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192EC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6 197 379,1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2 951,0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1 162,0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1 168 875,0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287 085,0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60 628,9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552 857,0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1 214 536,0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45 952,6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673 497,8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576 780,9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37 956,7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685 512,5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90 869,1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624 444,2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6 756,0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156 009,7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</w:tr>
      <w:tr w:rsidR="00192EC4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</w:tcPr>
          <w:p w:rsidR="00192EC4" w:rsidRPr="00F85143" w:rsidRDefault="00192EC4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32" w:type="pct"/>
            <w:shd w:val="clear" w:color="000000" w:fill="FFFFFF"/>
            <w:vAlign w:val="bottom"/>
          </w:tcPr>
          <w:p w:rsidR="00192EC4" w:rsidRPr="00192EC4" w:rsidRDefault="00192EC4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EC4">
              <w:rPr>
                <w:rFonts w:ascii="Times New Roman" w:hAnsi="Times New Roman" w:cs="Times New Roman"/>
                <w:sz w:val="24"/>
                <w:szCs w:val="24"/>
              </w:rPr>
              <w:t>11 041,0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9F15AE" w:rsidP="0019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r w:rsidR="00F42AC3"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редних предприятий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F42AC3" w:rsidRPr="00F42AC3" w:rsidRDefault="008A58B7" w:rsidP="008A58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8A58B7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 </w:t>
            </w:r>
            <w:r w:rsidRPr="008A58B7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, 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8A58B7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1 809,3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8A58B7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437,2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  <w:hideMark/>
          </w:tcPr>
          <w:p w:rsidR="00F42AC3" w:rsidRPr="00F42AC3" w:rsidRDefault="00F42AC3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8A58B7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223,4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19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8A58B7" w:rsidP="00192E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20,1</w:t>
            </w:r>
          </w:p>
        </w:tc>
      </w:tr>
    </w:tbl>
    <w:p w:rsidR="00085D71" w:rsidRDefault="00085D71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378A" w:rsidRDefault="009E378A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78A">
        <w:rPr>
          <w:rFonts w:ascii="Times New Roman" w:hAnsi="Times New Roman" w:cs="Times New Roman"/>
          <w:sz w:val="26"/>
          <w:szCs w:val="26"/>
        </w:rPr>
        <w:t>Вклад сектора малого и среднего предпринимательства в общий объем оборота организаций города составляет 1</w:t>
      </w:r>
      <w:r w:rsidR="005C25E2">
        <w:rPr>
          <w:rFonts w:ascii="Times New Roman" w:hAnsi="Times New Roman" w:cs="Times New Roman"/>
          <w:sz w:val="26"/>
          <w:szCs w:val="26"/>
        </w:rPr>
        <w:t>3,4</w:t>
      </w:r>
      <w:r w:rsidRPr="009E378A">
        <w:rPr>
          <w:rFonts w:ascii="Times New Roman" w:hAnsi="Times New Roman" w:cs="Times New Roman"/>
          <w:sz w:val="26"/>
          <w:szCs w:val="26"/>
        </w:rPr>
        <w:t xml:space="preserve"> % (в 202</w:t>
      </w:r>
      <w:r w:rsidR="005C25E2">
        <w:rPr>
          <w:rFonts w:ascii="Times New Roman" w:hAnsi="Times New Roman" w:cs="Times New Roman"/>
          <w:sz w:val="26"/>
          <w:szCs w:val="26"/>
        </w:rPr>
        <w:t>4</w:t>
      </w:r>
      <w:r w:rsidRPr="009E378A">
        <w:rPr>
          <w:rFonts w:ascii="Times New Roman" w:hAnsi="Times New Roman" w:cs="Times New Roman"/>
          <w:sz w:val="26"/>
          <w:szCs w:val="26"/>
        </w:rPr>
        <w:t xml:space="preserve"> году – 1</w:t>
      </w:r>
      <w:r w:rsidR="005C25E2">
        <w:rPr>
          <w:rFonts w:ascii="Times New Roman" w:hAnsi="Times New Roman" w:cs="Times New Roman"/>
          <w:sz w:val="26"/>
          <w:szCs w:val="26"/>
        </w:rPr>
        <w:t>2,1</w:t>
      </w:r>
      <w:r w:rsidRPr="009E378A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5C25E2" w:rsidRPr="005C25E2" w:rsidRDefault="005C25E2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5E2">
        <w:rPr>
          <w:rFonts w:ascii="Times New Roman" w:hAnsi="Times New Roman" w:cs="Times New Roman"/>
          <w:sz w:val="26"/>
          <w:szCs w:val="26"/>
        </w:rPr>
        <w:t>Развитие МСП в г. Зеленогорске сдерживаю</w:t>
      </w:r>
      <w:r w:rsidR="009F15AE">
        <w:rPr>
          <w:rFonts w:ascii="Times New Roman" w:hAnsi="Times New Roman" w:cs="Times New Roman"/>
          <w:sz w:val="26"/>
          <w:szCs w:val="26"/>
        </w:rPr>
        <w:t>т ряд факторов, характерных как </w:t>
      </w:r>
      <w:r w:rsidRPr="005C25E2">
        <w:rPr>
          <w:rFonts w:ascii="Times New Roman" w:hAnsi="Times New Roman" w:cs="Times New Roman"/>
          <w:sz w:val="26"/>
          <w:szCs w:val="26"/>
        </w:rPr>
        <w:t xml:space="preserve">для региона в целом, так и для специфики закрытого города. </w:t>
      </w:r>
    </w:p>
    <w:p w:rsidR="005C25E2" w:rsidRPr="005C25E2" w:rsidRDefault="005C25E2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5E2">
        <w:rPr>
          <w:rFonts w:ascii="Times New Roman" w:hAnsi="Times New Roman" w:cs="Times New Roman"/>
          <w:sz w:val="26"/>
          <w:szCs w:val="26"/>
        </w:rPr>
        <w:t>Среди ключевых проблем можно выделить:</w:t>
      </w:r>
    </w:p>
    <w:p w:rsidR="005C25E2" w:rsidRPr="005C25E2" w:rsidRDefault="009F15AE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25E2" w:rsidRPr="005C25E2">
        <w:rPr>
          <w:rFonts w:ascii="Times New Roman" w:hAnsi="Times New Roman" w:cs="Times New Roman"/>
          <w:sz w:val="26"/>
          <w:szCs w:val="26"/>
        </w:rPr>
        <w:t>дефицит квалифицированных кадров (молодые специалисты часто уезжают в крупные города или на вахтовые работы, ч</w:t>
      </w:r>
      <w:r>
        <w:rPr>
          <w:rFonts w:ascii="Times New Roman" w:hAnsi="Times New Roman" w:cs="Times New Roman"/>
          <w:sz w:val="26"/>
          <w:szCs w:val="26"/>
        </w:rPr>
        <w:t>то ограничивает возможности для </w:t>
      </w:r>
      <w:r w:rsidR="005C25E2" w:rsidRPr="005C25E2">
        <w:rPr>
          <w:rFonts w:ascii="Times New Roman" w:hAnsi="Times New Roman" w:cs="Times New Roman"/>
          <w:sz w:val="26"/>
          <w:szCs w:val="26"/>
        </w:rPr>
        <w:t xml:space="preserve">развития бизнеса. Кроме того, в МСП часто отсутствует система карьерного роста и профессионального развития, что повышает текучесть кадров); </w:t>
      </w:r>
    </w:p>
    <w:p w:rsidR="005C25E2" w:rsidRPr="005C25E2" w:rsidRDefault="009F15AE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25E2" w:rsidRPr="005C25E2">
        <w:rPr>
          <w:rFonts w:ascii="Times New Roman" w:hAnsi="Times New Roman" w:cs="Times New Roman"/>
          <w:sz w:val="26"/>
          <w:szCs w:val="26"/>
        </w:rPr>
        <w:t xml:space="preserve">ограниченный доступ к финансированию (банки часто рассматривают МСП как высокорискованных заемщиков, что затрудняет получение кредитов. Высокие </w:t>
      </w:r>
      <w:r w:rsidR="005C25E2" w:rsidRPr="005C25E2">
        <w:rPr>
          <w:rFonts w:ascii="Times New Roman" w:hAnsi="Times New Roman" w:cs="Times New Roman"/>
          <w:sz w:val="26"/>
          <w:szCs w:val="26"/>
        </w:rPr>
        <w:lastRenderedPageBreak/>
        <w:t>ставки, жесткие требования к заемщикам</w:t>
      </w:r>
      <w:r>
        <w:rPr>
          <w:rFonts w:ascii="Times New Roman" w:hAnsi="Times New Roman" w:cs="Times New Roman"/>
          <w:sz w:val="26"/>
          <w:szCs w:val="26"/>
        </w:rPr>
        <w:t>, короткие сроки кредитования и </w:t>
      </w:r>
      <w:r w:rsidR="005C25E2" w:rsidRPr="005C25E2">
        <w:rPr>
          <w:rFonts w:ascii="Times New Roman" w:hAnsi="Times New Roman" w:cs="Times New Roman"/>
          <w:sz w:val="26"/>
          <w:szCs w:val="26"/>
        </w:rPr>
        <w:t xml:space="preserve">завышенные комиссии делают заемные средства недоступными для многих предприятий); </w:t>
      </w:r>
    </w:p>
    <w:p w:rsidR="005C25E2" w:rsidRPr="005C25E2" w:rsidRDefault="009F15AE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25E2" w:rsidRPr="005C25E2">
        <w:rPr>
          <w:rFonts w:ascii="Times New Roman" w:hAnsi="Times New Roman" w:cs="Times New Roman"/>
          <w:sz w:val="26"/>
          <w:szCs w:val="26"/>
        </w:rPr>
        <w:t>низкая привлекательность бизнеса для инвестиций (МСП города могут восприниматься как менее надежные партнеры для инвесторов из-за ограниченного рынка сбыта, з</w:t>
      </w:r>
      <w:r>
        <w:rPr>
          <w:rFonts w:ascii="Times New Roman" w:hAnsi="Times New Roman" w:cs="Times New Roman"/>
          <w:sz w:val="26"/>
          <w:szCs w:val="26"/>
        </w:rPr>
        <w:t>ависимости от местных условий и </w:t>
      </w:r>
      <w:r w:rsidR="005C25E2" w:rsidRPr="005C25E2">
        <w:rPr>
          <w:rFonts w:ascii="Times New Roman" w:hAnsi="Times New Roman" w:cs="Times New Roman"/>
          <w:sz w:val="26"/>
          <w:szCs w:val="26"/>
        </w:rPr>
        <w:t>отсутствия крупных проектов, привлекательных для внешнего финансирования. Это ограничивает возможности для масштабирования и модернизации бизнеса);</w:t>
      </w:r>
    </w:p>
    <w:p w:rsidR="005C25E2" w:rsidRPr="005C25E2" w:rsidRDefault="009F15AE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25E2" w:rsidRPr="005C25E2">
        <w:rPr>
          <w:rFonts w:ascii="Times New Roman" w:hAnsi="Times New Roman" w:cs="Times New Roman"/>
          <w:sz w:val="26"/>
          <w:szCs w:val="26"/>
        </w:rPr>
        <w:t>логистиче</w:t>
      </w:r>
      <w:r>
        <w:rPr>
          <w:rFonts w:ascii="Times New Roman" w:hAnsi="Times New Roman" w:cs="Times New Roman"/>
          <w:sz w:val="26"/>
          <w:szCs w:val="26"/>
        </w:rPr>
        <w:t>ские сложности (г. Зеленогорск –</w:t>
      </w:r>
      <w:r w:rsidR="005C25E2" w:rsidRPr="005C25E2">
        <w:rPr>
          <w:rFonts w:ascii="Times New Roman" w:hAnsi="Times New Roman" w:cs="Times New Roman"/>
          <w:sz w:val="26"/>
          <w:szCs w:val="26"/>
        </w:rPr>
        <w:t xml:space="preserve"> закрытый</w:t>
      </w:r>
      <w:r>
        <w:rPr>
          <w:rFonts w:ascii="Times New Roman" w:hAnsi="Times New Roman" w:cs="Times New Roman"/>
          <w:sz w:val="26"/>
          <w:szCs w:val="26"/>
        </w:rPr>
        <w:t xml:space="preserve"> город, проблемы с </w:t>
      </w:r>
      <w:r w:rsidR="005C25E2" w:rsidRPr="005C25E2">
        <w:rPr>
          <w:rFonts w:ascii="Times New Roman" w:hAnsi="Times New Roman" w:cs="Times New Roman"/>
          <w:sz w:val="26"/>
          <w:szCs w:val="26"/>
        </w:rPr>
        <w:t>транспортной доступностью и логистикой могут влиять на стоимость поставок сырья, материалов и готовой продукции. Это особенно актуально для предприятий, зависящих от внешних поставщиков или рынков сбыта).</w:t>
      </w:r>
    </w:p>
    <w:p w:rsidR="005C25E2" w:rsidRDefault="009F15AE" w:rsidP="005C2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C25E2" w:rsidRPr="005C25E2">
        <w:rPr>
          <w:rFonts w:ascii="Times New Roman" w:hAnsi="Times New Roman" w:cs="Times New Roman"/>
          <w:sz w:val="26"/>
          <w:szCs w:val="26"/>
        </w:rPr>
        <w:t>экономическая нестабильность и снижение спроса (общая экономическая ситуация, включая колебания потребительско</w:t>
      </w:r>
      <w:r>
        <w:rPr>
          <w:rFonts w:ascii="Times New Roman" w:hAnsi="Times New Roman" w:cs="Times New Roman"/>
          <w:sz w:val="26"/>
          <w:szCs w:val="26"/>
        </w:rPr>
        <w:t>го спроса и рост цен на сырье и </w:t>
      </w:r>
      <w:r w:rsidR="005C25E2" w:rsidRPr="005C25E2">
        <w:rPr>
          <w:rFonts w:ascii="Times New Roman" w:hAnsi="Times New Roman" w:cs="Times New Roman"/>
          <w:sz w:val="26"/>
          <w:szCs w:val="26"/>
        </w:rPr>
        <w:t>тарифы, негативно сказывается на МСП. В условиях неопределенности бизнеса сложнее планировать развитие и привлекать инвестиции).</w:t>
      </w:r>
    </w:p>
    <w:p w:rsidR="009E378A" w:rsidRPr="00901D93" w:rsidRDefault="009E378A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E378A" w:rsidRPr="00901D93" w:rsidSect="00470787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B7" w:rsidRDefault="002F73B7" w:rsidP="00A84C41">
      <w:pPr>
        <w:spacing w:after="0" w:line="240" w:lineRule="auto"/>
      </w:pPr>
      <w:r>
        <w:separator/>
      </w:r>
    </w:p>
  </w:endnote>
  <w:endnote w:type="continuationSeparator" w:id="0">
    <w:p w:rsidR="002F73B7" w:rsidRDefault="002F73B7" w:rsidP="00A8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B7" w:rsidRDefault="002F73B7" w:rsidP="00A84C41">
      <w:pPr>
        <w:spacing w:after="0" w:line="240" w:lineRule="auto"/>
      </w:pPr>
      <w:r>
        <w:separator/>
      </w:r>
    </w:p>
  </w:footnote>
  <w:footnote w:type="continuationSeparator" w:id="0">
    <w:p w:rsidR="002F73B7" w:rsidRDefault="002F73B7" w:rsidP="00A8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94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FB2" w:rsidRPr="00243FB2" w:rsidRDefault="00243F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5A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D"/>
    <w:rsid w:val="00001CFD"/>
    <w:rsid w:val="00007A4C"/>
    <w:rsid w:val="000135AF"/>
    <w:rsid w:val="00027A6E"/>
    <w:rsid w:val="000356A4"/>
    <w:rsid w:val="000367BC"/>
    <w:rsid w:val="000525AF"/>
    <w:rsid w:val="00063FAC"/>
    <w:rsid w:val="000671E7"/>
    <w:rsid w:val="00074FD8"/>
    <w:rsid w:val="000759FD"/>
    <w:rsid w:val="000847C2"/>
    <w:rsid w:val="00085D71"/>
    <w:rsid w:val="000A19E6"/>
    <w:rsid w:val="000B1615"/>
    <w:rsid w:val="000B6309"/>
    <w:rsid w:val="000C23C2"/>
    <w:rsid w:val="001069D9"/>
    <w:rsid w:val="00114825"/>
    <w:rsid w:val="00120E9B"/>
    <w:rsid w:val="00160F6E"/>
    <w:rsid w:val="00192EC4"/>
    <w:rsid w:val="00197EBE"/>
    <w:rsid w:val="001A173B"/>
    <w:rsid w:val="001C3017"/>
    <w:rsid w:val="001C7A6B"/>
    <w:rsid w:val="001E799F"/>
    <w:rsid w:val="001F130C"/>
    <w:rsid w:val="00200527"/>
    <w:rsid w:val="00212D92"/>
    <w:rsid w:val="0022554F"/>
    <w:rsid w:val="002320DB"/>
    <w:rsid w:val="00243FB2"/>
    <w:rsid w:val="00265CE0"/>
    <w:rsid w:val="00267EFD"/>
    <w:rsid w:val="00285496"/>
    <w:rsid w:val="00291C71"/>
    <w:rsid w:val="002B2C8F"/>
    <w:rsid w:val="002E7BF3"/>
    <w:rsid w:val="002F73B7"/>
    <w:rsid w:val="00302F3B"/>
    <w:rsid w:val="003110C2"/>
    <w:rsid w:val="00315E9E"/>
    <w:rsid w:val="00332020"/>
    <w:rsid w:val="00346264"/>
    <w:rsid w:val="0035672D"/>
    <w:rsid w:val="0036058B"/>
    <w:rsid w:val="003714C4"/>
    <w:rsid w:val="00377EB3"/>
    <w:rsid w:val="0038654F"/>
    <w:rsid w:val="00386FF4"/>
    <w:rsid w:val="003A5CE5"/>
    <w:rsid w:val="003C1C9A"/>
    <w:rsid w:val="003C28F4"/>
    <w:rsid w:val="003C4556"/>
    <w:rsid w:val="003C5F96"/>
    <w:rsid w:val="003D3E43"/>
    <w:rsid w:val="003E20BA"/>
    <w:rsid w:val="003E4887"/>
    <w:rsid w:val="003E5A09"/>
    <w:rsid w:val="003E62BB"/>
    <w:rsid w:val="003F3C68"/>
    <w:rsid w:val="003F6F88"/>
    <w:rsid w:val="00457547"/>
    <w:rsid w:val="00470787"/>
    <w:rsid w:val="00477849"/>
    <w:rsid w:val="00485386"/>
    <w:rsid w:val="004A0C71"/>
    <w:rsid w:val="004A421F"/>
    <w:rsid w:val="004E111E"/>
    <w:rsid w:val="004E12CF"/>
    <w:rsid w:val="004E29BE"/>
    <w:rsid w:val="004E7316"/>
    <w:rsid w:val="00502799"/>
    <w:rsid w:val="00534444"/>
    <w:rsid w:val="005407DA"/>
    <w:rsid w:val="00550C32"/>
    <w:rsid w:val="0056497C"/>
    <w:rsid w:val="005673D0"/>
    <w:rsid w:val="005921ED"/>
    <w:rsid w:val="0059410A"/>
    <w:rsid w:val="005B19BD"/>
    <w:rsid w:val="005C25E2"/>
    <w:rsid w:val="005D602C"/>
    <w:rsid w:val="00605C52"/>
    <w:rsid w:val="00637660"/>
    <w:rsid w:val="006622F4"/>
    <w:rsid w:val="00664E16"/>
    <w:rsid w:val="00676BEE"/>
    <w:rsid w:val="00691E3F"/>
    <w:rsid w:val="00696999"/>
    <w:rsid w:val="006A1FF6"/>
    <w:rsid w:val="006B6DC8"/>
    <w:rsid w:val="006E5C05"/>
    <w:rsid w:val="00717878"/>
    <w:rsid w:val="00732719"/>
    <w:rsid w:val="0073329E"/>
    <w:rsid w:val="007354DC"/>
    <w:rsid w:val="00743A4E"/>
    <w:rsid w:val="0075685D"/>
    <w:rsid w:val="00760B29"/>
    <w:rsid w:val="00760CA0"/>
    <w:rsid w:val="007723B6"/>
    <w:rsid w:val="0078064C"/>
    <w:rsid w:val="007C0C15"/>
    <w:rsid w:val="007D39DA"/>
    <w:rsid w:val="007F4594"/>
    <w:rsid w:val="00801F61"/>
    <w:rsid w:val="00803851"/>
    <w:rsid w:val="00806A63"/>
    <w:rsid w:val="00827D3B"/>
    <w:rsid w:val="0086631F"/>
    <w:rsid w:val="008679D7"/>
    <w:rsid w:val="008770A0"/>
    <w:rsid w:val="00881135"/>
    <w:rsid w:val="00882CF1"/>
    <w:rsid w:val="008A1A3C"/>
    <w:rsid w:val="008A49DE"/>
    <w:rsid w:val="008A58B7"/>
    <w:rsid w:val="008B1990"/>
    <w:rsid w:val="008B2EC7"/>
    <w:rsid w:val="008C3464"/>
    <w:rsid w:val="008C3F67"/>
    <w:rsid w:val="008D228E"/>
    <w:rsid w:val="008F60E8"/>
    <w:rsid w:val="008F614A"/>
    <w:rsid w:val="00900C02"/>
    <w:rsid w:val="00901D93"/>
    <w:rsid w:val="00934B46"/>
    <w:rsid w:val="009435DE"/>
    <w:rsid w:val="00946869"/>
    <w:rsid w:val="0096150C"/>
    <w:rsid w:val="00973CCD"/>
    <w:rsid w:val="00983B07"/>
    <w:rsid w:val="00990915"/>
    <w:rsid w:val="0099699D"/>
    <w:rsid w:val="009A5168"/>
    <w:rsid w:val="009D05EF"/>
    <w:rsid w:val="009D4EC0"/>
    <w:rsid w:val="009D70E7"/>
    <w:rsid w:val="009E378A"/>
    <w:rsid w:val="009E4CD8"/>
    <w:rsid w:val="009F15AE"/>
    <w:rsid w:val="00A007EF"/>
    <w:rsid w:val="00A102C0"/>
    <w:rsid w:val="00A3070C"/>
    <w:rsid w:val="00A43323"/>
    <w:rsid w:val="00A44062"/>
    <w:rsid w:val="00A5615C"/>
    <w:rsid w:val="00A65CD1"/>
    <w:rsid w:val="00A83AE1"/>
    <w:rsid w:val="00A84C41"/>
    <w:rsid w:val="00A8514F"/>
    <w:rsid w:val="00A941B9"/>
    <w:rsid w:val="00AA3BD8"/>
    <w:rsid w:val="00AA7BAB"/>
    <w:rsid w:val="00AB771A"/>
    <w:rsid w:val="00AC6DE1"/>
    <w:rsid w:val="00AD6764"/>
    <w:rsid w:val="00B41FD3"/>
    <w:rsid w:val="00B46803"/>
    <w:rsid w:val="00B47126"/>
    <w:rsid w:val="00B53298"/>
    <w:rsid w:val="00B56B28"/>
    <w:rsid w:val="00B76D49"/>
    <w:rsid w:val="00B77796"/>
    <w:rsid w:val="00B77D1A"/>
    <w:rsid w:val="00B963E9"/>
    <w:rsid w:val="00B97B5C"/>
    <w:rsid w:val="00BA23C4"/>
    <w:rsid w:val="00BA2F2B"/>
    <w:rsid w:val="00BB3739"/>
    <w:rsid w:val="00BC127C"/>
    <w:rsid w:val="00BC1FFE"/>
    <w:rsid w:val="00BD25FB"/>
    <w:rsid w:val="00BD3A9F"/>
    <w:rsid w:val="00BF41E8"/>
    <w:rsid w:val="00C239AF"/>
    <w:rsid w:val="00C24130"/>
    <w:rsid w:val="00C423DE"/>
    <w:rsid w:val="00C43BAE"/>
    <w:rsid w:val="00C54771"/>
    <w:rsid w:val="00C972B2"/>
    <w:rsid w:val="00CC42BB"/>
    <w:rsid w:val="00CD7299"/>
    <w:rsid w:val="00D077D8"/>
    <w:rsid w:val="00D11E0F"/>
    <w:rsid w:val="00D13FA9"/>
    <w:rsid w:val="00D57678"/>
    <w:rsid w:val="00D63D56"/>
    <w:rsid w:val="00D70D51"/>
    <w:rsid w:val="00DB1980"/>
    <w:rsid w:val="00DB2A50"/>
    <w:rsid w:val="00DD687E"/>
    <w:rsid w:val="00E0403C"/>
    <w:rsid w:val="00E14D7A"/>
    <w:rsid w:val="00E233FB"/>
    <w:rsid w:val="00E560B7"/>
    <w:rsid w:val="00E605A9"/>
    <w:rsid w:val="00E7346E"/>
    <w:rsid w:val="00E93487"/>
    <w:rsid w:val="00EA64B6"/>
    <w:rsid w:val="00ED7A59"/>
    <w:rsid w:val="00F05363"/>
    <w:rsid w:val="00F06358"/>
    <w:rsid w:val="00F42AC3"/>
    <w:rsid w:val="00F46407"/>
    <w:rsid w:val="00F52876"/>
    <w:rsid w:val="00F85143"/>
    <w:rsid w:val="00FA115D"/>
    <w:rsid w:val="00FA1202"/>
    <w:rsid w:val="00FA2D0C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A7B1-B6E8-45C0-9901-ED2A075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A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unhideWhenUsed/>
    <w:rsid w:val="00A8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84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A84C4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3FB2"/>
  </w:style>
  <w:style w:type="paragraph" w:styleId="ac">
    <w:name w:val="footer"/>
    <w:basedOn w:val="a"/>
    <w:link w:val="ad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b="0"/>
              <a:t>Количество субъектов малого и среднего предпринимательства</a:t>
            </a:r>
          </a:p>
        </c:rich>
      </c:tx>
      <c:layout>
        <c:manualLayout>
          <c:xMode val="edge"/>
          <c:yMode val="edge"/>
          <c:x val="0.10921500089669711"/>
          <c:y val="8.6222682469422644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050524010899142"/>
          <c:y val="0.10035428498266985"/>
          <c:w val="0.73010736678972288"/>
          <c:h val="0.521794353692957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показатели!$A$6</c:f>
              <c:strCache>
                <c:ptCount val="1"/>
                <c:pt idx="0">
                  <c:v>количество малых предприятий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показатели!$I$6:$M$6</c:f>
              <c:numCache>
                <c:formatCode>General</c:formatCode>
                <c:ptCount val="5"/>
                <c:pt idx="0">
                  <c:v>342</c:v>
                </c:pt>
                <c:pt idx="1">
                  <c:v>331</c:v>
                </c:pt>
                <c:pt idx="2">
                  <c:v>322</c:v>
                </c:pt>
                <c:pt idx="3" formatCode="#,##0">
                  <c:v>315</c:v>
                </c:pt>
                <c:pt idx="4" formatCode="#,##0">
                  <c:v>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7D-402D-8F67-4688A9CC526B}"/>
            </c:ext>
          </c:extLst>
        </c:ser>
        <c:ser>
          <c:idx val="1"/>
          <c:order val="1"/>
          <c:tx>
            <c:strRef>
              <c:f>показатели!$A$10</c:f>
              <c:strCache>
                <c:ptCount val="1"/>
                <c:pt idx="0">
                  <c:v>количество средних предприятий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показатели!$I$10:$M$10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 formatCode="#,##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7D-402D-8F67-4688A9CC526B}"/>
            </c:ext>
          </c:extLst>
        </c:ser>
        <c:ser>
          <c:idx val="3"/>
          <c:order val="2"/>
          <c:tx>
            <c:strRef>
              <c:f>показатели!$A$14</c:f>
              <c:strCache>
                <c:ptCount val="1"/>
                <c:pt idx="0">
                  <c:v>количество индивидуальных предпринимателей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показатели!$I$14:$M$14</c:f>
              <c:numCache>
                <c:formatCode>#,##0</c:formatCode>
                <c:ptCount val="5"/>
                <c:pt idx="0">
                  <c:v>1039</c:v>
                </c:pt>
                <c:pt idx="1">
                  <c:v>1085</c:v>
                </c:pt>
                <c:pt idx="2">
                  <c:v>1124</c:v>
                </c:pt>
                <c:pt idx="3">
                  <c:v>1187</c:v>
                </c:pt>
                <c:pt idx="4">
                  <c:v>1330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7D-402D-8F67-4688A9CC5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7453080"/>
        <c:axId val="707455824"/>
      </c:barChart>
      <c:lineChart>
        <c:grouping val="standard"/>
        <c:varyColors val="0"/>
        <c:ser>
          <c:idx val="2"/>
          <c:order val="3"/>
          <c:tx>
            <c:strRef>
              <c:f>показатели!$A$2</c:f>
              <c:strCache>
                <c:ptCount val="1"/>
                <c:pt idx="0">
                  <c:v>количество субъектов малого и среднего предпринимательства 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977439809388844E-2"/>
                  <c:y val="-5.752961274530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87D-402D-8F67-4688A9CC526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64159978820977E-2"/>
                  <c:y val="-5.0338411152138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87D-402D-8F67-4688A9CC526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962399682314756E-2"/>
                  <c:y val="-4.6742810355556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87D-402D-8F67-4688A9CC526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969919745851727E-2"/>
                  <c:y val="-5.752961274530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87D-402D-8F67-4688A9CC526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8721062901507834E-2"/>
                  <c:y val="-5.39287945792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87D-402D-8F67-4688A9CC526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показатели!$I$2:$M$2</c:f>
              <c:numCache>
                <c:formatCode>#,##0</c:formatCode>
                <c:ptCount val="5"/>
                <c:pt idx="0">
                  <c:v>1386</c:v>
                </c:pt>
                <c:pt idx="1">
                  <c:v>1423</c:v>
                </c:pt>
                <c:pt idx="2">
                  <c:v>1452</c:v>
                </c:pt>
                <c:pt idx="3">
                  <c:v>1508</c:v>
                </c:pt>
                <c:pt idx="4">
                  <c:v>1644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B87D-402D-8F67-4688A9CC5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7453080"/>
        <c:axId val="707455824"/>
      </c:lineChart>
      <c:dateAx>
        <c:axId val="707453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7455824"/>
        <c:crosses val="autoZero"/>
        <c:auto val="0"/>
        <c:lblOffset val="100"/>
        <c:baseTimeUnit val="days"/>
      </c:dateAx>
      <c:valAx>
        <c:axId val="70745582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07453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65686616203485"/>
          <c:y val="0.67908284426494736"/>
          <c:w val="0.74843145681134504"/>
          <c:h val="0.28840056221379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 cap="none">
                <a:solidFill>
                  <a:sysClr val="windowText" lastClr="000000"/>
                </a:solidFill>
              </a:rPr>
              <a:t>Отраслевое распределение малого предпринимательства</a:t>
            </a:r>
          </a:p>
        </c:rich>
      </c:tx>
      <c:layout>
        <c:manualLayout>
          <c:xMode val="edge"/>
          <c:yMode val="edge"/>
          <c:x val="0.12951686844147689"/>
          <c:y val="3.221283386088366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785236419660262"/>
          <c:y val="0.23046850393700788"/>
          <c:w val="0.65591342454867929"/>
          <c:h val="0.522321024091730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ED4-480F-9714-11AFB43FD3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ED4-480F-9714-11AFB43FD3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ED4-480F-9714-11AFB43FD3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ED4-480F-9714-11AFB43FD3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ED4-480F-9714-11AFB43FD36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ED4-480F-9714-11AFB43FD36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ED4-480F-9714-11AFB43FD36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ED4-480F-9714-11AFB43FD36D}"/>
              </c:ext>
            </c:extLst>
          </c:dPt>
          <c:dLbls>
            <c:dLbl>
              <c:idx val="0"/>
              <c:layout>
                <c:manualLayout>
                  <c:x val="6.6825594844262176E-2"/>
                  <c:y val="7.89472832542046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D4-480F-9714-11AFB43FD36D}"/>
                </c:ext>
                <c:ext xmlns:c15="http://schemas.microsoft.com/office/drawing/2012/chart" uri="{CE6537A1-D6FC-4f65-9D91-7224C49458BB}">
                  <c15:layout>
                    <c:manualLayout>
                      <c:w val="0.23544165702827877"/>
                      <c:h val="0.4660912453760789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9977495827857024E-2"/>
                  <c:y val="-8.923884883290341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D4-480F-9714-11AFB43FD36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917257932400014E-3"/>
                  <c:y val="7.13910790663227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ED4-480F-9714-11AFB43FD36D}"/>
                </c:ext>
                <c:ext xmlns:c15="http://schemas.microsoft.com/office/drawing/2012/chart" uri="{CE6537A1-D6FC-4f65-9D91-7224C49458BB}">
                  <c15:layout>
                    <c:manualLayout>
                      <c:w val="0.24320068554612201"/>
                      <c:h val="0.1933554817275747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9321120780364292E-2"/>
                  <c:y val="7.36620160457747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ED4-480F-9714-11AFB43FD36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86403054653449E-2"/>
                  <c:y val="0.1248230530986339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ED4-480F-9714-11AFB43FD36D}"/>
                </c:ext>
                <c:ext xmlns:c15="http://schemas.microsoft.com/office/drawing/2012/chart" uri="{CE6537A1-D6FC-4f65-9D91-7224C49458BB}">
                  <c15:layout>
                    <c:manualLayout>
                      <c:w val="0.24807560536651968"/>
                      <c:h val="0.29593094944512949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2923499405315663E-2"/>
                  <c:y val="-2.7755575615628914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ED4-480F-9714-11AFB43FD36D}"/>
                </c:ext>
                <c:ext xmlns:c15="http://schemas.microsoft.com/office/drawing/2012/chart" uri="{CE6537A1-D6FC-4f65-9D91-7224C49458BB}">
                  <c15:layout>
                    <c:manualLayout>
                      <c:w val="0.20914055884130583"/>
                      <c:h val="0.23921085080147961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0690613641223007E-2"/>
                  <c:y val="-9.94585602816910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ED4-480F-9714-11AFB43FD36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7565637842415303E-2"/>
                  <c:y val="-6.88482836069659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ED4-480F-9714-11AFB43FD36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'по видам д-ти'!$A$2:$A$9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Строительство</c:v>
                </c:pt>
                <c:pt idx="2">
                  <c:v>Обрабатывающие производства</c:v>
                </c:pt>
                <c:pt idx="3">
                  <c:v>Транспортировка и хранение</c:v>
                </c:pt>
                <c:pt idx="4">
                  <c:v>Деятельность профессиональная, научная и техническая</c:v>
                </c:pt>
                <c:pt idx="5">
                  <c:v>Предоставление прочих видов услуг</c:v>
                </c:pt>
                <c:pt idx="6">
                  <c:v>Деятельность по операциям с недвижимым имуществом</c:v>
                </c:pt>
                <c:pt idx="7">
                  <c:v>Прочие</c:v>
                </c:pt>
              </c:strCache>
            </c:strRef>
          </c:cat>
          <c:val>
            <c:numRef>
              <c:f>'по видам д-ти'!$M$2:$M$9</c:f>
              <c:numCache>
                <c:formatCode>General</c:formatCode>
                <c:ptCount val="8"/>
                <c:pt idx="0">
                  <c:v>579</c:v>
                </c:pt>
                <c:pt idx="1">
                  <c:v>139</c:v>
                </c:pt>
                <c:pt idx="2">
                  <c:v>120</c:v>
                </c:pt>
                <c:pt idx="3">
                  <c:v>126</c:v>
                </c:pt>
                <c:pt idx="4">
                  <c:v>129</c:v>
                </c:pt>
                <c:pt idx="5">
                  <c:v>110</c:v>
                </c:pt>
                <c:pt idx="6">
                  <c:v>96</c:v>
                </c:pt>
                <c:pt idx="7">
                  <c:v>345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BED4-480F-9714-11AFB43FD36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solidFill>
                  <a:schemeClr val="tx1"/>
                </a:solidFill>
              </a:rPr>
              <a:t>Среднесписочная численность работников субъектов малого и среднего предпринимательства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21653356289607E-2"/>
          <c:y val="0.15039213732759329"/>
          <c:w val="0.85718246558981548"/>
          <c:h val="0.56270774493205256"/>
        </c:manualLayout>
      </c:layout>
      <c:bar3DChart>
        <c:barDir val="col"/>
        <c:grouping val="stacked"/>
        <c:varyColors val="0"/>
        <c:ser>
          <c:idx val="3"/>
          <c:order val="1"/>
          <c:tx>
            <c:strRef>
              <c:f>показатели!$A$25</c:f>
              <c:strCache>
                <c:ptCount val="1"/>
                <c:pt idx="0">
                  <c:v>малых предприятий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9445706678944253E-3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889141335788802E-2"/>
                  <c:y val="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240951113157377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7744203249837E-2"/>
                  <c:y val="-3.8082432573854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92760890525901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l"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показатели!$I$25:$M$25</c:f>
              <c:numCache>
                <c:formatCode>#,##0</c:formatCode>
                <c:ptCount val="5"/>
                <c:pt idx="0">
                  <c:v>2027</c:v>
                </c:pt>
                <c:pt idx="1">
                  <c:v>1656.3799999999999</c:v>
                </c:pt>
                <c:pt idx="2">
                  <c:v>1674</c:v>
                </c:pt>
                <c:pt idx="3">
                  <c:v>1551.9070000000006</c:v>
                </c:pt>
                <c:pt idx="4">
                  <c:v>1483.7950000000003</c:v>
                </c:pt>
              </c:numCache>
            </c:numRef>
          </c:val>
        </c:ser>
        <c:ser>
          <c:idx val="0"/>
          <c:order val="2"/>
          <c:tx>
            <c:strRef>
              <c:f>показатели!$A$29</c:f>
              <c:strCache>
                <c:ptCount val="1"/>
                <c:pt idx="0">
                  <c:v>средних предприятий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2409511131573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240951113157377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889141335788851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37331558420231E-2"/>
                  <c:y val="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240951113157279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показатели!$I$29:$M$29</c:f>
              <c:numCache>
                <c:formatCode>#,##0</c:formatCode>
                <c:ptCount val="5"/>
                <c:pt idx="0">
                  <c:v>535</c:v>
                </c:pt>
                <c:pt idx="1">
                  <c:v>675</c:v>
                </c:pt>
                <c:pt idx="2">
                  <c:v>563</c:v>
                </c:pt>
                <c:pt idx="3">
                  <c:v>608</c:v>
                </c:pt>
                <c:pt idx="4">
                  <c:v>962.09999999999991</c:v>
                </c:pt>
              </c:numCache>
            </c:numRef>
          </c:val>
        </c:ser>
        <c:ser>
          <c:idx val="1"/>
          <c:order val="3"/>
          <c:tx>
            <c:strRef>
              <c:f>показатели!$A$33</c:f>
              <c:strCache>
                <c:ptCount val="1"/>
                <c:pt idx="0">
                  <c:v>индивидуальных предпринимателей,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240951113157377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58891413357888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889141335788851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5373315584202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240951113157377E-2"/>
                  <c:y val="-6.68798546226394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показатели!$I$33:$M$33</c:f>
              <c:numCache>
                <c:formatCode>#,##0</c:formatCode>
                <c:ptCount val="5"/>
                <c:pt idx="0">
                  <c:v>1039</c:v>
                </c:pt>
                <c:pt idx="1">
                  <c:v>1085</c:v>
                </c:pt>
                <c:pt idx="2">
                  <c:v>1124</c:v>
                </c:pt>
                <c:pt idx="3">
                  <c:v>1187</c:v>
                </c:pt>
                <c:pt idx="4">
                  <c:v>1330</c:v>
                </c:pt>
              </c:numCache>
            </c:numRef>
          </c:val>
        </c:ser>
        <c:ser>
          <c:idx val="4"/>
          <c:order val="4"/>
          <c:tx>
            <c:strRef>
              <c:f>показатели!$A$37</c:f>
              <c:strCache>
                <c:ptCount val="1"/>
                <c:pt idx="0">
                  <c:v>работников у индивидуальных предпринимателей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240951113157377E-2"/>
                  <c:y val="-3.34399273113197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537331558420279E-2"/>
                  <c:y val="-3.34399273113197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5927608905259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показатели!$I$1:$M$1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показатели!$I$37:$M$37</c:f>
              <c:numCache>
                <c:formatCode>#,##0</c:formatCode>
                <c:ptCount val="5"/>
                <c:pt idx="0">
                  <c:v>1063</c:v>
                </c:pt>
                <c:pt idx="1">
                  <c:v>1029</c:v>
                </c:pt>
                <c:pt idx="2">
                  <c:v>1024</c:v>
                </c:pt>
                <c:pt idx="3">
                  <c:v>995</c:v>
                </c:pt>
                <c:pt idx="4">
                  <c:v>969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cylinder"/>
        <c:axId val="707455040"/>
        <c:axId val="707451120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'[показатели МСП итог.xlsx]сводная таблица'!$A$22:$B$22</c15:sqref>
                        </c15:formulaRef>
                      </c:ext>
                    </c:extLst>
                    <c:strCache>
                      <c:ptCount val="1"/>
                      <c:pt idx="0">
                        <c:v>работников у индивидуальных предпринимателей, чел.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показатели!$I$1:$M$1</c15:sqref>
                        </c15:formulaRef>
                      </c:ext>
                    </c:extLst>
                    <c:strCache>
                      <c:ptCount val="5"/>
                      <c:pt idx="0">
                        <c:v>2021 год</c:v>
                      </c:pt>
                      <c:pt idx="1">
                        <c:v>2022 год</c:v>
                      </c:pt>
                      <c:pt idx="2">
                        <c:v>2023 год</c:v>
                      </c:pt>
                      <c:pt idx="3">
                        <c:v>2024 год</c:v>
                      </c:pt>
                      <c:pt idx="4">
                        <c:v>2025 год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'[показатели МСП итог.xlsx]сводная таблица'!$G$22:$L$22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1247</c:v>
                      </c:pt>
                      <c:pt idx="1">
                        <c:v>1162</c:v>
                      </c:pt>
                      <c:pt idx="2">
                        <c:v>1063</c:v>
                      </c:pt>
                      <c:pt idx="3">
                        <c:v>1029</c:v>
                      </c:pt>
                      <c:pt idx="4">
                        <c:v>1024</c:v>
                      </c:pt>
                      <c:pt idx="5">
                        <c:v>1013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707455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7451120"/>
        <c:crosses val="autoZero"/>
        <c:auto val="1"/>
        <c:lblAlgn val="ctr"/>
        <c:lblOffset val="100"/>
        <c:noMultiLvlLbl val="0"/>
      </c:catAx>
      <c:valAx>
        <c:axId val="70745112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70745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478803260236886"/>
          <c:y val="0.81544853442379872"/>
          <c:w val="0.60487261659339131"/>
          <c:h val="0.184551465576201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Самусева</cp:lastModifiedBy>
  <cp:revision>7</cp:revision>
  <cp:lastPrinted>2025-04-21T08:43:00Z</cp:lastPrinted>
  <dcterms:created xsi:type="dcterms:W3CDTF">2026-05-27T07:30:00Z</dcterms:created>
  <dcterms:modified xsi:type="dcterms:W3CDTF">2026-05-27T08:38:00Z</dcterms:modified>
</cp:coreProperties>
</file>