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2F4" w:rsidRPr="00901D93" w:rsidRDefault="006622F4" w:rsidP="0056497C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Основные показатели развития малого и среднего предприним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ательства на </w:t>
      </w:r>
      <w:proofErr w:type="gramStart"/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территории</w:t>
      </w:r>
      <w:proofErr w:type="gramEnd"/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Зеленогорск в 20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EA64B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4</w:t>
      </w:r>
      <w:r w:rsidR="00DD687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году</w:t>
      </w:r>
    </w:p>
    <w:p w:rsidR="006622F4" w:rsidRPr="00901D93" w:rsidRDefault="006622F4" w:rsidP="00732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6622F4" w:rsidRPr="00901D93" w:rsidRDefault="006622F4" w:rsidP="007327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Показатели развития малого и среднего предпринимательства на </w:t>
      </w:r>
      <w:proofErr w:type="gramStart"/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территории</w:t>
      </w:r>
      <w:proofErr w:type="gramEnd"/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ЗАТО г.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Зеленогорск представлены на основе 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данных Единого реестра субъектов малого и среднего предпринимательства Федеральной налоговой службы Российской Федерации, а также с использованием статистических данных, представленных отделом статистики МКУ «Центр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закупок, предпринимательства и </w:t>
      </w:r>
      <w:r w:rsidR="003E488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обеспечения деятельности ОМС»,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по состоянию на 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01.01.20</w:t>
      </w:r>
      <w:r w:rsidR="00F46407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2</w:t>
      </w:r>
      <w:r w:rsidR="00EA64B6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5</w:t>
      </w:r>
      <w:r w:rsidR="00074FD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.</w:t>
      </w:r>
    </w:p>
    <w:p w:rsidR="006622F4" w:rsidRPr="00901D93" w:rsidRDefault="006622F4" w:rsidP="007327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 </w:t>
      </w:r>
    </w:p>
    <w:p w:rsidR="00267EFD" w:rsidRPr="00267EFD" w:rsidRDefault="00760B29" w:rsidP="00267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B2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По данным Единого реестра субъектов малого и среднего предпринимательства (далее – МСП) на 1 января 2025 года в городе Зеленогорске зарегистрировано 1 508 субъектов МСП, из них </w:t>
      </w:r>
      <w:r w:rsidR="00A941B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315 малых и микропредприятий, 6 </w:t>
      </w:r>
      <w:r w:rsidRPr="00760B29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средних предприятий и 1 187 индивидуальных предпринимателей. За 2024 год общее количество субъектов МСП увеличилось на 56 ед. (на 4%), количество индивидуальных предпринимателей увеличилось на 63 чел. (на 5,6%), а число малых и микропредприятий сократилось на 7 ед. (на 2,2%). Количество средних организ</w:t>
      </w:r>
      <w:r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аций не изменилось. </w:t>
      </w:r>
      <w:r w:rsidR="0022554F" w:rsidRPr="0022554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Значительная часть созданных в 2024 году субъектов МСП занята в розничной и оптовой торговле (35,6%), строительстве (13,6%) и сфере услуг (8%).</w:t>
      </w:r>
      <w:r w:rsidR="0022554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267EFD" w:rsidRPr="00267E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Число субъектов МСП на 10 000 жителей составило </w:t>
      </w:r>
      <w:r w:rsidR="0022554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288 </w:t>
      </w:r>
      <w:r w:rsidR="00267EFD" w:rsidRPr="00267E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ед., что выше показателя предыду</w:t>
      </w:r>
      <w:r w:rsidR="0022554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щего периода более, чем на 5% (в 2023</w:t>
      </w:r>
      <w:r w:rsidR="00267EFD" w:rsidRPr="00267E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г. – </w:t>
      </w:r>
      <w:r w:rsidR="0022554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274 </w:t>
      </w:r>
      <w:r w:rsidR="00267EFD" w:rsidRPr="00267EFD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ед.).</w:t>
      </w:r>
    </w:p>
    <w:p w:rsidR="000356A4" w:rsidRDefault="0022554F" w:rsidP="00267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noProof/>
          <w:szCs w:val="28"/>
          <w:lang w:eastAsia="ru-RU"/>
        </w:rPr>
      </w:pPr>
      <w:r w:rsidRPr="0022554F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Количество самозанятых граждан по состоянию на 1 января 2025 года составило 3 844 человек, за 2024 год их количество увеличилось на 497 человек (15%).</w:t>
      </w:r>
    </w:p>
    <w:p w:rsidR="001A173B" w:rsidRPr="00901D93" w:rsidRDefault="001A173B" w:rsidP="00267E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256448">
        <w:rPr>
          <w:noProof/>
          <w:lang w:eastAsia="ru-RU"/>
        </w:rPr>
        <w:drawing>
          <wp:inline distT="0" distB="0" distL="0" distR="0" wp14:anchorId="2B130AE5" wp14:editId="4CE57742">
            <wp:extent cx="5443855" cy="3302000"/>
            <wp:effectExtent l="0" t="0" r="4445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130C" w:rsidRDefault="001F130C" w:rsidP="001A1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7BAB" w:rsidRDefault="001A173B" w:rsidP="001A17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A173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Отраслевая структура субъектов МСП г. Зеленогорска в целом остается неизменной на протяжении многих лет и коррели</w:t>
      </w:r>
      <w:r w:rsidR="00A941B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рует с отраслевой структурой по </w:t>
      </w:r>
      <w:r w:rsidRPr="001A173B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 и Красноярскому краю. Значительная часть субъектов МСП по-прежнему осуществляет деятельность в сфере оптовой и розничной торговли. Однако, доля таких субъектов постепенно снижается ввиду высокой конкуренции с крупными торговыми сетями и маркетплейсами.</w:t>
      </w:r>
    </w:p>
    <w:p w:rsidR="001A173B" w:rsidRDefault="001A173B" w:rsidP="001A173B">
      <w:p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  <w:lang w:eastAsia="ru-RU"/>
        </w:rPr>
        <w:lastRenderedPageBreak/>
        <w:drawing>
          <wp:inline distT="0" distB="0" distL="0" distR="0" wp14:anchorId="178A3481" wp14:editId="590547E6">
            <wp:extent cx="5895975" cy="31146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A173B" w:rsidRDefault="001A173B" w:rsidP="001A173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52"/>
        <w:gridCol w:w="1296"/>
        <w:gridCol w:w="1296"/>
      </w:tblGrid>
      <w:tr w:rsidR="001F130C" w:rsidRPr="001F130C" w:rsidTr="00AE64FE">
        <w:trPr>
          <w:trHeight w:val="312"/>
        </w:trPr>
        <w:tc>
          <w:tcPr>
            <w:tcW w:w="3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0C" w:rsidRPr="001F130C" w:rsidRDefault="001F130C" w:rsidP="001F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30C" w:rsidRPr="001F130C" w:rsidRDefault="001F130C" w:rsidP="001F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01.01.2024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30C" w:rsidRPr="001F130C" w:rsidRDefault="001F130C" w:rsidP="001F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1F1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01.01.2025</w:t>
            </w:r>
          </w:p>
        </w:tc>
      </w:tr>
      <w:tr w:rsidR="001F130C" w:rsidRPr="001F130C" w:rsidTr="00AE64FE">
        <w:trPr>
          <w:trHeight w:val="624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 том числе: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1F130C" w:rsidRPr="001F130C" w:rsidTr="00AE64FE">
        <w:trPr>
          <w:trHeight w:val="624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F130C" w:rsidRPr="001F130C" w:rsidTr="00AE64FE">
        <w:trPr>
          <w:trHeight w:val="624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1F130C" w:rsidRPr="001F130C" w:rsidTr="00AE64FE">
        <w:trPr>
          <w:trHeight w:val="624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F130C" w:rsidRPr="001F130C" w:rsidTr="00AE64FE">
        <w:trPr>
          <w:trHeight w:val="624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30C" w:rsidRPr="001F130C" w:rsidRDefault="001F130C" w:rsidP="001F13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F130C" w:rsidRPr="001F130C" w:rsidTr="00AE64FE">
        <w:trPr>
          <w:trHeight w:val="312"/>
        </w:trPr>
        <w:tc>
          <w:tcPr>
            <w:tcW w:w="3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130C" w:rsidRPr="001F130C" w:rsidRDefault="001F130C" w:rsidP="001F1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30C" w:rsidRPr="001F130C" w:rsidRDefault="001F130C" w:rsidP="001F13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1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1508</w:t>
            </w:r>
          </w:p>
        </w:tc>
      </w:tr>
    </w:tbl>
    <w:p w:rsidR="00732719" w:rsidRPr="00901D93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lastRenderedPageBreak/>
        <w:t xml:space="preserve">Информация о </w:t>
      </w:r>
      <w:r w:rsidR="00D11E0F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среднесписочной численности работников (без внешних совместителей) 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субъектов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 и среднего предпринимательства </w:t>
      </w: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в соответствии с их классификацией по в</w:t>
      </w:r>
      <w:r w:rsidR="00BC1FFE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ED7A59" w:rsidRDefault="00ED7A59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ED7A59" w:rsidRDefault="00ED7A59" w:rsidP="00ED7A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ED7A59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В малом и среднем бизнесе города занято 4 342 человека. Численность занятых в бизнесе сохранена на уровне 2024 года. Самый высокий прирост числа работников в абсолютном выражении в 2024 году наблюдался в сфере производства (108 чел.), общественного питания (46 чел.), наибольшее сокращение — в сфере строительства (49 чел.), сельского хозяйства (44 чел.) и торговли (32 чел.). </w:t>
      </w:r>
    </w:p>
    <w:p w:rsidR="00990915" w:rsidRDefault="00990915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001CFD" w:rsidRDefault="00ED7A59" w:rsidP="005921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(</w:t>
      </w:r>
      <w:r w:rsidR="00990915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чел.</w:t>
      </w:r>
      <w:r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1835"/>
      </w:tblGrid>
      <w:tr w:rsidR="00BA23C4" w:rsidRPr="00801F61" w:rsidTr="003E62BB">
        <w:trPr>
          <w:cantSplit/>
          <w:trHeight w:val="20"/>
          <w:tblHeader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801F61" w:rsidRDefault="005673D0" w:rsidP="00F0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</w:t>
            </w:r>
            <w:r w:rsidR="00BA23C4"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 01.01.202</w:t>
            </w:r>
            <w:r w:rsidR="001F130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</w:tr>
      <w:tr w:rsidR="00BA23C4" w:rsidRPr="005673D0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5673D0" w:rsidRDefault="005673D0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</w:t>
            </w:r>
            <w:r w:rsidR="00BA23C4" w:rsidRPr="005673D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реднесписочная численность работников, занятых в сфере малого и среднего бизнеса</w:t>
            </w:r>
          </w:p>
        </w:tc>
        <w:tc>
          <w:tcPr>
            <w:tcW w:w="982" w:type="pct"/>
            <w:shd w:val="clear" w:color="auto" w:fill="auto"/>
            <w:hideMark/>
          </w:tcPr>
          <w:p w:rsidR="00BA23C4" w:rsidRPr="005673D0" w:rsidRDefault="005673D0" w:rsidP="00F06358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3 154,4</w:t>
            </w:r>
          </w:p>
        </w:tc>
      </w:tr>
      <w:tr w:rsidR="00BA23C4" w:rsidRPr="00801F61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801F61" w:rsidRDefault="00BA23C4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801F6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82" w:type="pct"/>
            <w:shd w:val="clear" w:color="auto" w:fill="auto"/>
            <w:hideMark/>
          </w:tcPr>
          <w:p w:rsidR="00BA23C4" w:rsidRPr="00AD6764" w:rsidRDefault="00BA23C4" w:rsidP="00F06358">
            <w:pPr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3E62BB" w:rsidRPr="003E62BB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3E62BB" w:rsidRPr="003E62BB" w:rsidRDefault="005673D0" w:rsidP="003E62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</w:t>
            </w:r>
            <w:r w:rsidR="003E62BB" w:rsidRPr="003E62BB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алых предприятий</w:t>
            </w:r>
          </w:p>
        </w:tc>
        <w:tc>
          <w:tcPr>
            <w:tcW w:w="982" w:type="pct"/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1 551,9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0,3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304,2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13,3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259,9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251,7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26,0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276,0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6,9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156,4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21,8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140,8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1,2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54,7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</w:t>
            </w:r>
          </w:p>
        </w:tc>
      </w:tr>
      <w:tr w:rsidR="003E62BB" w:rsidRPr="00801F61" w:rsidTr="00547F94">
        <w:trPr>
          <w:cantSplit/>
          <w:trHeight w:val="20"/>
        </w:trPr>
        <w:tc>
          <w:tcPr>
            <w:tcW w:w="4018" w:type="pct"/>
            <w:shd w:val="clear" w:color="000000" w:fill="FFFFFF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9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3,7</w:t>
            </w:r>
          </w:p>
        </w:tc>
      </w:tr>
      <w:tr w:rsidR="00BA23C4" w:rsidRPr="00801F61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BA23C4" w:rsidRPr="00801F61" w:rsidRDefault="005673D0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</w:t>
            </w:r>
            <w:r w:rsidR="00BA23C4" w:rsidRPr="00801F61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редних предприятий</w:t>
            </w:r>
          </w:p>
        </w:tc>
        <w:tc>
          <w:tcPr>
            <w:tcW w:w="982" w:type="pct"/>
            <w:shd w:val="clear" w:color="auto" w:fill="auto"/>
          </w:tcPr>
          <w:p w:rsidR="00BA23C4" w:rsidRPr="00F06358" w:rsidRDefault="003E62BB" w:rsidP="00F06358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607,5</w:t>
            </w:r>
          </w:p>
        </w:tc>
      </w:tr>
      <w:tr w:rsidR="003E62BB" w:rsidRPr="00AD6764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105,1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85,9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  <w:hideMark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строительство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198,1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0,0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финансовая и страховая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6,8</w:t>
            </w:r>
          </w:p>
        </w:tc>
      </w:tr>
      <w:tr w:rsidR="003E62BB" w:rsidRPr="00801F61" w:rsidTr="00E76D58">
        <w:trPr>
          <w:cantSplit/>
          <w:trHeight w:val="20"/>
        </w:trPr>
        <w:tc>
          <w:tcPr>
            <w:tcW w:w="4018" w:type="pct"/>
            <w:shd w:val="clear" w:color="000000" w:fill="FFFFFF"/>
            <w:vAlign w:val="bottom"/>
          </w:tcPr>
          <w:p w:rsidR="003E62BB" w:rsidRPr="003E62BB" w:rsidRDefault="003E62BB" w:rsidP="003E62BB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82" w:type="pct"/>
            <w:shd w:val="clear" w:color="auto" w:fill="auto"/>
            <w:vAlign w:val="bottom"/>
          </w:tcPr>
          <w:p w:rsidR="003E62BB" w:rsidRPr="003E62BB" w:rsidRDefault="003E62BB" w:rsidP="003E62B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3E62B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211,6</w:t>
            </w:r>
          </w:p>
        </w:tc>
      </w:tr>
      <w:tr w:rsidR="00BA23C4" w:rsidRPr="00801F61" w:rsidTr="003E62BB">
        <w:trPr>
          <w:cantSplit/>
          <w:trHeight w:val="20"/>
        </w:trPr>
        <w:tc>
          <w:tcPr>
            <w:tcW w:w="4018" w:type="pct"/>
            <w:shd w:val="clear" w:color="000000" w:fill="FFFFFF"/>
            <w:vAlign w:val="center"/>
          </w:tcPr>
          <w:p w:rsidR="00BA23C4" w:rsidRPr="00AD6764" w:rsidRDefault="005673D0" w:rsidP="00F06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У</w:t>
            </w:r>
            <w:r w:rsidR="00BA23C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индивидуальных предпринимателей</w:t>
            </w:r>
          </w:p>
        </w:tc>
        <w:tc>
          <w:tcPr>
            <w:tcW w:w="982" w:type="pct"/>
            <w:shd w:val="clear" w:color="auto" w:fill="auto"/>
          </w:tcPr>
          <w:p w:rsidR="00BA23C4" w:rsidRPr="00F06358" w:rsidRDefault="003E62BB" w:rsidP="00F06358">
            <w:pPr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995</w:t>
            </w:r>
          </w:p>
        </w:tc>
      </w:tr>
    </w:tbl>
    <w:p w:rsidR="000356A4" w:rsidRDefault="000356A4" w:rsidP="00A007EF">
      <w:pPr>
        <w:spacing w:after="0" w:line="240" w:lineRule="auto"/>
        <w:jc w:val="center"/>
        <w:rPr>
          <w:noProof/>
          <w:lang w:eastAsia="ru-RU"/>
        </w:rPr>
      </w:pPr>
    </w:p>
    <w:p w:rsidR="003E62BB" w:rsidRDefault="007C0C15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673EBA" wp14:editId="5D7895B4">
            <wp:extent cx="5878286" cy="3476625"/>
            <wp:effectExtent l="0" t="0" r="825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41E8" w:rsidRPr="00901D93" w:rsidRDefault="00BF41E8" w:rsidP="00A007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386FF4" w:rsidRDefault="00114825" w:rsidP="00B963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Среднемесячная заработная плата работников организаций малого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и среднего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бизнеса в 202</w:t>
      </w:r>
      <w:r w:rsidR="00A65CD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году составила</w:t>
      </w:r>
      <w:r w:rsidR="00605C52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A65CD1" w:rsidRPr="00A65CD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42 362,5</w:t>
      </w:r>
      <w:r w:rsidR="00A65CD1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Pr="00760CA0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386FF4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и </w:t>
      </w:r>
      <w:r w:rsidR="00806A63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53 946,1</w:t>
      </w:r>
      <w:r w:rsidR="00BA23C4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</w:t>
      </w:r>
      <w:r w:rsidR="00B963E9" w:rsidRPr="00806A63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>рублей</w:t>
      </w:r>
      <w:r w:rsidR="00386FF4"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  <w:t xml:space="preserve"> соответственно. </w:t>
      </w:r>
    </w:p>
    <w:p w:rsidR="00114825" w:rsidRPr="00901D93" w:rsidRDefault="00114825" w:rsidP="00732719">
      <w:pPr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6622F4" w:rsidRDefault="006622F4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Информация об обороте субъект</w:t>
      </w:r>
      <w:r w:rsidR="00CC42BB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ов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малого</w:t>
      </w:r>
      <w:r w:rsidR="0096150C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и среднего предпринимательства</w:t>
      </w:r>
      <w:r w:rsidR="003C28F4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 xml:space="preserve"> в </w:t>
      </w:r>
      <w:r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соответствии с их классификацией по в</w:t>
      </w:r>
      <w:r w:rsidR="003F3C68" w:rsidRPr="00901D93"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  <w:t>идам экономической деятельности</w:t>
      </w:r>
    </w:p>
    <w:p w:rsidR="00990915" w:rsidRPr="00901D93" w:rsidRDefault="00990915" w:rsidP="0073271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sz w:val="26"/>
          <w:szCs w:val="26"/>
          <w:lang w:eastAsia="ru-RU"/>
        </w:rPr>
      </w:pPr>
    </w:p>
    <w:p w:rsidR="003C28F4" w:rsidRPr="00901D93" w:rsidRDefault="005921ED" w:rsidP="005921E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6"/>
          <w:szCs w:val="26"/>
          <w:lang w:eastAsia="ru-RU"/>
        </w:rPr>
      </w:pPr>
      <w:r w:rsidRPr="00BB373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5"/>
        <w:gridCol w:w="1929"/>
      </w:tblGrid>
      <w:tr w:rsidR="00F42AC3" w:rsidRPr="00BB3739" w:rsidTr="00F42AC3">
        <w:trPr>
          <w:cantSplit/>
          <w:trHeight w:val="20"/>
          <w:tblHeader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8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2" w:type="pct"/>
            <w:shd w:val="clear" w:color="000000" w:fill="FFFFFF"/>
            <w:vAlign w:val="center"/>
            <w:hideMark/>
          </w:tcPr>
          <w:p w:rsidR="00F42AC3" w:rsidRPr="00BB3739" w:rsidRDefault="00F42AC3" w:rsidP="00F8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202</w:t>
            </w:r>
            <w:r w:rsidR="00A65CD1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42AC3" w:rsidRPr="00F42AC3" w:rsidTr="009E378A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Оборот субъектов малого и среднего предпринимательства</w:t>
            </w:r>
          </w:p>
        </w:tc>
        <w:tc>
          <w:tcPr>
            <w:tcW w:w="1032" w:type="pct"/>
            <w:shd w:val="clear" w:color="auto" w:fill="auto"/>
            <w:hideMark/>
          </w:tcPr>
          <w:p w:rsidR="00F42AC3" w:rsidRPr="00F42AC3" w:rsidRDefault="004A0C71" w:rsidP="00F85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6 883 122,1</w:t>
            </w:r>
            <w:bookmarkStart w:id="0" w:name="_GoBack"/>
            <w:bookmarkEnd w:id="0"/>
          </w:p>
        </w:tc>
      </w:tr>
      <w:tr w:rsidR="00F42AC3" w:rsidRPr="00BB3739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BB3739" w:rsidRDefault="00F42AC3" w:rsidP="00F851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BB37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F42AC3" w:rsidP="00F85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F42AC3" w:rsidRPr="00F42AC3" w:rsidTr="00B61CAD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A65CD1" w:rsidP="00F85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</w:t>
            </w:r>
            <w:r w:rsidR="00F42AC3" w:rsidRPr="00F42A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алых предприятий:</w:t>
            </w:r>
          </w:p>
        </w:tc>
        <w:tc>
          <w:tcPr>
            <w:tcW w:w="1032" w:type="pct"/>
            <w:shd w:val="clear" w:color="000000" w:fill="FFFFFF"/>
            <w:hideMark/>
          </w:tcPr>
          <w:p w:rsidR="00F42AC3" w:rsidRPr="00F42AC3" w:rsidRDefault="004A0C71" w:rsidP="00F851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4A0C71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5 434 584,0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3 935,0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1 280,0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1 051 236,2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36 124,3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57 161,3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841 459,2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1 481 252,6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23 094,4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613 132,5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25 302,4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17 161,4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560 785,7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40 863,7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534 902,6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3 334,0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128 056,0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32" w:type="pct"/>
            <w:shd w:val="clear" w:color="000000" w:fill="FFFFFF"/>
            <w:vAlign w:val="bottom"/>
            <w:hideMark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F85143" w:rsidRPr="00BB3739" w:rsidTr="00450C58">
        <w:trPr>
          <w:cantSplit/>
          <w:trHeight w:val="20"/>
        </w:trPr>
        <w:tc>
          <w:tcPr>
            <w:tcW w:w="3968" w:type="pct"/>
            <w:shd w:val="clear" w:color="000000" w:fill="FFFFFF"/>
            <w:vAlign w:val="bottom"/>
          </w:tcPr>
          <w:p w:rsidR="00F85143" w:rsidRPr="00F85143" w:rsidRDefault="00F8514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1032" w:type="pct"/>
            <w:shd w:val="clear" w:color="000000" w:fill="FFFFFF"/>
            <w:vAlign w:val="bottom"/>
          </w:tcPr>
          <w:p w:rsidR="00F85143" w:rsidRPr="00F85143" w:rsidRDefault="00F85143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143">
              <w:rPr>
                <w:rFonts w:ascii="Times New Roman" w:hAnsi="Times New Roman" w:cs="Times New Roman"/>
                <w:sz w:val="24"/>
                <w:szCs w:val="24"/>
              </w:rPr>
              <w:t>15 232,8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  <w:vAlign w:val="center"/>
            <w:hideMark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F42AC3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средних предприятий</w:t>
            </w:r>
          </w:p>
        </w:tc>
        <w:tc>
          <w:tcPr>
            <w:tcW w:w="1032" w:type="pct"/>
            <w:shd w:val="clear" w:color="auto" w:fill="auto"/>
            <w:vAlign w:val="center"/>
            <w:hideMark/>
          </w:tcPr>
          <w:p w:rsidR="00F42AC3" w:rsidRPr="00F42AC3" w:rsidRDefault="00B47126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</w:pPr>
            <w:r w:rsidRPr="00B47126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</w:rPr>
              <w:t>1 448 538,10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обрабатывающие производства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B47126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4712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545 921,00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строительство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B47126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4712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474 858,00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  <w:hideMark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деятельность административная и сопутствующие дополнительные услуги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B47126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4712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207 193,40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B47126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4712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200 294,00</w:t>
            </w:r>
          </w:p>
        </w:tc>
      </w:tr>
      <w:tr w:rsidR="00F42AC3" w:rsidRPr="00F42AC3" w:rsidTr="00B47126">
        <w:trPr>
          <w:cantSplit/>
          <w:trHeight w:val="20"/>
        </w:trPr>
        <w:tc>
          <w:tcPr>
            <w:tcW w:w="3968" w:type="pct"/>
            <w:shd w:val="clear" w:color="000000" w:fill="FFFFFF"/>
          </w:tcPr>
          <w:p w:rsidR="00F42AC3" w:rsidRPr="00F42AC3" w:rsidRDefault="00F42AC3" w:rsidP="00F8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AC3">
              <w:rPr>
                <w:rFonts w:ascii="Times New Roman" w:hAnsi="Times New Roman" w:cs="Times New Roman"/>
                <w:sz w:val="24"/>
                <w:szCs w:val="24"/>
              </w:rPr>
              <w:t>- деятельность по операциям с недвижимым имуществом</w:t>
            </w:r>
          </w:p>
        </w:tc>
        <w:tc>
          <w:tcPr>
            <w:tcW w:w="1032" w:type="pct"/>
            <w:shd w:val="clear" w:color="auto" w:fill="auto"/>
            <w:vAlign w:val="center"/>
          </w:tcPr>
          <w:p w:rsidR="00F42AC3" w:rsidRPr="00F42AC3" w:rsidRDefault="00B47126" w:rsidP="00F8514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4712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20 271,70</w:t>
            </w:r>
          </w:p>
        </w:tc>
      </w:tr>
    </w:tbl>
    <w:p w:rsidR="00085D71" w:rsidRDefault="00085D71" w:rsidP="00A85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378A" w:rsidRDefault="009E378A" w:rsidP="00A85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78A">
        <w:rPr>
          <w:rFonts w:ascii="Times New Roman" w:hAnsi="Times New Roman" w:cs="Times New Roman"/>
          <w:sz w:val="26"/>
          <w:szCs w:val="26"/>
        </w:rPr>
        <w:t>Вклад сектора малого и среднего предпринимательства в общий объем оборота организаций города составляет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9E378A">
        <w:rPr>
          <w:rFonts w:ascii="Times New Roman" w:hAnsi="Times New Roman" w:cs="Times New Roman"/>
          <w:sz w:val="26"/>
          <w:szCs w:val="26"/>
        </w:rPr>
        <w:t xml:space="preserve"> % (в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9E378A">
        <w:rPr>
          <w:rFonts w:ascii="Times New Roman" w:hAnsi="Times New Roman" w:cs="Times New Roman"/>
          <w:sz w:val="26"/>
          <w:szCs w:val="26"/>
        </w:rPr>
        <w:t xml:space="preserve"> году – 1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E378A">
        <w:rPr>
          <w:rFonts w:ascii="Times New Roman" w:hAnsi="Times New Roman" w:cs="Times New Roman"/>
          <w:sz w:val="26"/>
          <w:szCs w:val="26"/>
        </w:rPr>
        <w:t xml:space="preserve"> %).</w:t>
      </w:r>
    </w:p>
    <w:p w:rsidR="009E378A" w:rsidRPr="009E378A" w:rsidRDefault="009E378A" w:rsidP="009E378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E378A">
        <w:rPr>
          <w:rFonts w:ascii="Times New Roman" w:hAnsi="Times New Roman" w:cs="Times New Roman"/>
          <w:sz w:val="26"/>
          <w:szCs w:val="26"/>
        </w:rPr>
        <w:t>Основными факторами, сдерживающими развитие МСП, являются растущие налоги, рост ставки по кредитам, дефицит кадров и растущий уровень оплаты труда, неопределенность экономической ситуации.</w:t>
      </w:r>
      <w:r w:rsidRPr="009E378A">
        <w:rPr>
          <w:rStyle w:val="a9"/>
          <w:rFonts w:ascii="Times New Roman" w:hAnsi="Times New Roman" w:cs="Times New Roman"/>
          <w:sz w:val="26"/>
          <w:szCs w:val="26"/>
        </w:rPr>
        <w:footnoteReference w:id="1"/>
      </w:r>
    </w:p>
    <w:p w:rsidR="009E378A" w:rsidRPr="00901D93" w:rsidRDefault="009E378A" w:rsidP="00A85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E378A" w:rsidRPr="00901D93" w:rsidSect="00470787">
      <w:headerReference w:type="default" r:id="rId9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99" w:rsidRDefault="00502799" w:rsidP="00A84C41">
      <w:pPr>
        <w:spacing w:after="0" w:line="240" w:lineRule="auto"/>
      </w:pPr>
      <w:r>
        <w:separator/>
      </w:r>
    </w:p>
  </w:endnote>
  <w:endnote w:type="continuationSeparator" w:id="0">
    <w:p w:rsidR="00502799" w:rsidRDefault="00502799" w:rsidP="00A84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99" w:rsidRDefault="00502799" w:rsidP="00A84C41">
      <w:pPr>
        <w:spacing w:after="0" w:line="240" w:lineRule="auto"/>
      </w:pPr>
      <w:r>
        <w:separator/>
      </w:r>
    </w:p>
  </w:footnote>
  <w:footnote w:type="continuationSeparator" w:id="0">
    <w:p w:rsidR="00502799" w:rsidRDefault="00502799" w:rsidP="00A84C41">
      <w:pPr>
        <w:spacing w:after="0" w:line="240" w:lineRule="auto"/>
      </w:pPr>
      <w:r>
        <w:continuationSeparator/>
      </w:r>
    </w:p>
  </w:footnote>
  <w:footnote w:id="1">
    <w:p w:rsidR="009E378A" w:rsidRPr="009E378A" w:rsidRDefault="009E378A" w:rsidP="009E378A">
      <w:pPr>
        <w:pStyle w:val="a7"/>
      </w:pPr>
      <w:r w:rsidRPr="009E378A">
        <w:rPr>
          <w:rStyle w:val="a9"/>
        </w:rPr>
        <w:footnoteRef/>
      </w:r>
      <w:r w:rsidRPr="009E378A">
        <w:t xml:space="preserve"> https://stolypin.institute/research/our/o-vzaimodejstvii-biznesa-s-gosudarstvom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9494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3FB2" w:rsidRPr="00243FB2" w:rsidRDefault="00243FB2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43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3F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0C7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43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3FB2" w:rsidRDefault="00243FB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5D"/>
    <w:rsid w:val="00001CFD"/>
    <w:rsid w:val="00007A4C"/>
    <w:rsid w:val="000135AF"/>
    <w:rsid w:val="00027A6E"/>
    <w:rsid w:val="000356A4"/>
    <w:rsid w:val="000367BC"/>
    <w:rsid w:val="000525AF"/>
    <w:rsid w:val="00063FAC"/>
    <w:rsid w:val="000671E7"/>
    <w:rsid w:val="00074FD8"/>
    <w:rsid w:val="000759FD"/>
    <w:rsid w:val="000847C2"/>
    <w:rsid w:val="00085D71"/>
    <w:rsid w:val="000A19E6"/>
    <w:rsid w:val="000B1615"/>
    <w:rsid w:val="000B6309"/>
    <w:rsid w:val="000C23C2"/>
    <w:rsid w:val="001069D9"/>
    <w:rsid w:val="00114825"/>
    <w:rsid w:val="00120E9B"/>
    <w:rsid w:val="00160F6E"/>
    <w:rsid w:val="00197EBE"/>
    <w:rsid w:val="001A173B"/>
    <w:rsid w:val="001C3017"/>
    <w:rsid w:val="001C7A6B"/>
    <w:rsid w:val="001E799F"/>
    <w:rsid w:val="001F130C"/>
    <w:rsid w:val="00200527"/>
    <w:rsid w:val="00212D92"/>
    <w:rsid w:val="0022554F"/>
    <w:rsid w:val="002320DB"/>
    <w:rsid w:val="00243FB2"/>
    <w:rsid w:val="00265CE0"/>
    <w:rsid w:val="00267EFD"/>
    <w:rsid w:val="00285496"/>
    <w:rsid w:val="00291C71"/>
    <w:rsid w:val="002B2C8F"/>
    <w:rsid w:val="002E7BF3"/>
    <w:rsid w:val="00302F3B"/>
    <w:rsid w:val="003110C2"/>
    <w:rsid w:val="00315E9E"/>
    <w:rsid w:val="00332020"/>
    <w:rsid w:val="00346264"/>
    <w:rsid w:val="0035672D"/>
    <w:rsid w:val="0036058B"/>
    <w:rsid w:val="003714C4"/>
    <w:rsid w:val="00377EB3"/>
    <w:rsid w:val="0038654F"/>
    <w:rsid w:val="00386FF4"/>
    <w:rsid w:val="003A5CE5"/>
    <w:rsid w:val="003C1C9A"/>
    <w:rsid w:val="003C28F4"/>
    <w:rsid w:val="003C4556"/>
    <w:rsid w:val="003C5F96"/>
    <w:rsid w:val="003D3E43"/>
    <w:rsid w:val="003E20BA"/>
    <w:rsid w:val="003E4887"/>
    <w:rsid w:val="003E5A09"/>
    <w:rsid w:val="003E62BB"/>
    <w:rsid w:val="003F3C68"/>
    <w:rsid w:val="003F6F88"/>
    <w:rsid w:val="00457547"/>
    <w:rsid w:val="00470787"/>
    <w:rsid w:val="00477849"/>
    <w:rsid w:val="00485386"/>
    <w:rsid w:val="004A0C71"/>
    <w:rsid w:val="004A421F"/>
    <w:rsid w:val="004E111E"/>
    <w:rsid w:val="004E12CF"/>
    <w:rsid w:val="004E29BE"/>
    <w:rsid w:val="00502799"/>
    <w:rsid w:val="00534444"/>
    <w:rsid w:val="005407DA"/>
    <w:rsid w:val="00550C32"/>
    <w:rsid w:val="0056497C"/>
    <w:rsid w:val="005673D0"/>
    <w:rsid w:val="005921ED"/>
    <w:rsid w:val="0059410A"/>
    <w:rsid w:val="005B19BD"/>
    <w:rsid w:val="005D602C"/>
    <w:rsid w:val="00605C52"/>
    <w:rsid w:val="00637660"/>
    <w:rsid w:val="006622F4"/>
    <w:rsid w:val="00664E16"/>
    <w:rsid w:val="00676BEE"/>
    <w:rsid w:val="00691E3F"/>
    <w:rsid w:val="00696999"/>
    <w:rsid w:val="006A1FF6"/>
    <w:rsid w:val="006B6DC8"/>
    <w:rsid w:val="006E5C05"/>
    <w:rsid w:val="00717878"/>
    <w:rsid w:val="00732719"/>
    <w:rsid w:val="0073329E"/>
    <w:rsid w:val="007354DC"/>
    <w:rsid w:val="00743A4E"/>
    <w:rsid w:val="0075685D"/>
    <w:rsid w:val="00760B29"/>
    <w:rsid w:val="00760CA0"/>
    <w:rsid w:val="007723B6"/>
    <w:rsid w:val="0078064C"/>
    <w:rsid w:val="007C0C15"/>
    <w:rsid w:val="007D39DA"/>
    <w:rsid w:val="007F4594"/>
    <w:rsid w:val="00801F61"/>
    <w:rsid w:val="00803851"/>
    <w:rsid w:val="00806A63"/>
    <w:rsid w:val="00827D3B"/>
    <w:rsid w:val="0086631F"/>
    <w:rsid w:val="008679D7"/>
    <w:rsid w:val="008770A0"/>
    <w:rsid w:val="00881135"/>
    <w:rsid w:val="00882CF1"/>
    <w:rsid w:val="008A1A3C"/>
    <w:rsid w:val="008A49DE"/>
    <w:rsid w:val="008B1990"/>
    <w:rsid w:val="008B2EC7"/>
    <w:rsid w:val="008C3464"/>
    <w:rsid w:val="008C3F67"/>
    <w:rsid w:val="008F60E8"/>
    <w:rsid w:val="00900C02"/>
    <w:rsid w:val="00901D93"/>
    <w:rsid w:val="00934B46"/>
    <w:rsid w:val="009435DE"/>
    <w:rsid w:val="00946869"/>
    <w:rsid w:val="0096150C"/>
    <w:rsid w:val="00973CCD"/>
    <w:rsid w:val="00983B07"/>
    <w:rsid w:val="00990915"/>
    <w:rsid w:val="0099699D"/>
    <w:rsid w:val="009A5168"/>
    <w:rsid w:val="009D05EF"/>
    <w:rsid w:val="009D4EC0"/>
    <w:rsid w:val="009D70E7"/>
    <w:rsid w:val="009E378A"/>
    <w:rsid w:val="009E4CD8"/>
    <w:rsid w:val="00A007EF"/>
    <w:rsid w:val="00A102C0"/>
    <w:rsid w:val="00A3070C"/>
    <w:rsid w:val="00A43323"/>
    <w:rsid w:val="00A44062"/>
    <w:rsid w:val="00A5615C"/>
    <w:rsid w:val="00A65CD1"/>
    <w:rsid w:val="00A83AE1"/>
    <w:rsid w:val="00A84C41"/>
    <w:rsid w:val="00A8514F"/>
    <w:rsid w:val="00A941B9"/>
    <w:rsid w:val="00AA3BD8"/>
    <w:rsid w:val="00AA7BAB"/>
    <w:rsid w:val="00AB771A"/>
    <w:rsid w:val="00AC6DE1"/>
    <w:rsid w:val="00AD6764"/>
    <w:rsid w:val="00B41FD3"/>
    <w:rsid w:val="00B46803"/>
    <w:rsid w:val="00B47126"/>
    <w:rsid w:val="00B53298"/>
    <w:rsid w:val="00B56B28"/>
    <w:rsid w:val="00B76D49"/>
    <w:rsid w:val="00B77796"/>
    <w:rsid w:val="00B77D1A"/>
    <w:rsid w:val="00B963E9"/>
    <w:rsid w:val="00B97B5C"/>
    <w:rsid w:val="00BA23C4"/>
    <w:rsid w:val="00BA2F2B"/>
    <w:rsid w:val="00BB3739"/>
    <w:rsid w:val="00BC127C"/>
    <w:rsid w:val="00BC1FFE"/>
    <w:rsid w:val="00BD25FB"/>
    <w:rsid w:val="00BD3A9F"/>
    <w:rsid w:val="00BF41E8"/>
    <w:rsid w:val="00C239AF"/>
    <w:rsid w:val="00C24130"/>
    <w:rsid w:val="00C423DE"/>
    <w:rsid w:val="00C43BAE"/>
    <w:rsid w:val="00C972B2"/>
    <w:rsid w:val="00CC42BB"/>
    <w:rsid w:val="00CD7299"/>
    <w:rsid w:val="00D077D8"/>
    <w:rsid w:val="00D11E0F"/>
    <w:rsid w:val="00D13FA9"/>
    <w:rsid w:val="00D57678"/>
    <w:rsid w:val="00D63D56"/>
    <w:rsid w:val="00D70D51"/>
    <w:rsid w:val="00DB1980"/>
    <w:rsid w:val="00DB2A50"/>
    <w:rsid w:val="00DD687E"/>
    <w:rsid w:val="00E0403C"/>
    <w:rsid w:val="00E14D7A"/>
    <w:rsid w:val="00E233FB"/>
    <w:rsid w:val="00E560B7"/>
    <w:rsid w:val="00E605A9"/>
    <w:rsid w:val="00E7346E"/>
    <w:rsid w:val="00E93487"/>
    <w:rsid w:val="00EA64B6"/>
    <w:rsid w:val="00ED7A59"/>
    <w:rsid w:val="00F05363"/>
    <w:rsid w:val="00F06358"/>
    <w:rsid w:val="00F42AC3"/>
    <w:rsid w:val="00F46407"/>
    <w:rsid w:val="00F52876"/>
    <w:rsid w:val="00F85143"/>
    <w:rsid w:val="00FA115D"/>
    <w:rsid w:val="00FA1202"/>
    <w:rsid w:val="00FA2D0C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CA7B1-B6E8-45C0-9901-ED2A075A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22F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AE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semiHidden/>
    <w:unhideWhenUsed/>
    <w:rsid w:val="00A84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A84C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unhideWhenUsed/>
    <w:rsid w:val="00A84C41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3FB2"/>
  </w:style>
  <w:style w:type="paragraph" w:styleId="ac">
    <w:name w:val="footer"/>
    <w:basedOn w:val="a"/>
    <w:link w:val="ad"/>
    <w:uiPriority w:val="99"/>
    <w:unhideWhenUsed/>
    <w:rsid w:val="00243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76;&#1080;&#1085;&#1072;&#1084;&#1080;&#1095;&#1077;&#1089;&#1082;&#1080;&#1077;%20&#1088;&#1103;&#1076;&#1099;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76;&#1080;&#1085;&#1072;&#1084;&#1080;&#1095;&#1077;&#1089;&#1082;&#1080;&#1077;%20&#1088;&#1103;&#1076;&#1099;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2;&#1086;&#1080;%20&#1076;&#1086;&#1082;&#1091;&#1084;&#1077;&#1085;&#1090;&#1099;\&#1057;&#1058;&#1040;&#1058;&#1048;&#1057;&#1058;&#1048;&#1050;&#1040;\&#1076;&#1080;&#1085;&#1072;&#1084;&#1080;&#1095;&#1077;&#1089;&#1082;&#1080;&#1077;%20&#1088;&#1103;&#1076;&#1099;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 b="0"/>
              <a:t>Количество субъектов малого и среднего предпринимательства</a:t>
            </a:r>
          </a:p>
        </c:rich>
      </c:tx>
      <c:layout>
        <c:manualLayout>
          <c:xMode val="edge"/>
          <c:yMode val="edge"/>
          <c:x val="0.13806760099231152"/>
          <c:y val="1.679285281647487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0505312871118"/>
          <c:y val="0.15162961841308298"/>
          <c:w val="0.74944561348157246"/>
          <c:h val="0.5886435493640217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показатели!$A$10</c:f>
              <c:strCache>
                <c:ptCount val="1"/>
                <c:pt idx="0">
                  <c:v>количество средних предприятий 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994867607605271E-2"/>
                  <c:y val="-3.8461538461538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9659395777440848E-2"/>
                  <c:y val="-3.84615384615384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7994867607605271E-2"/>
                  <c:y val="-7.6923076923076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994867607605271E-2"/>
                  <c:y val="-1.410240119042214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660678875539487E-2"/>
                  <c:y val="-7.6923076923076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показатели!$H$10:$L$10</c:f>
              <c:numCache>
                <c:formatCode>General</c:formatCode>
                <c:ptCount val="5"/>
                <c:pt idx="0">
                  <c:v>4</c:v>
                </c:pt>
                <c:pt idx="1">
                  <c:v>5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</c:numCache>
            </c:numRef>
          </c:val>
        </c:ser>
        <c:ser>
          <c:idx val="3"/>
          <c:order val="2"/>
          <c:tx>
            <c:strRef>
              <c:f>показатели!$A$14</c:f>
              <c:strCache>
                <c:ptCount val="1"/>
                <c:pt idx="0">
                  <c:v>количество индивидуальных предпринимателей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accent6">
                  <a:lumMod val="75000"/>
                </a:scheme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показатели!$H$14:$L$14</c:f>
              <c:numCache>
                <c:formatCode>#,##0</c:formatCode>
                <c:ptCount val="5"/>
                <c:pt idx="0">
                  <c:v>1017</c:v>
                </c:pt>
                <c:pt idx="1">
                  <c:v>1039</c:v>
                </c:pt>
                <c:pt idx="2">
                  <c:v>1085</c:v>
                </c:pt>
                <c:pt idx="3">
                  <c:v>1124</c:v>
                </c:pt>
                <c:pt idx="4">
                  <c:v>1187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632464"/>
        <c:axId val="650634816"/>
      </c:barChart>
      <c:barChart>
        <c:barDir val="col"/>
        <c:grouping val="clustered"/>
        <c:varyColors val="0"/>
        <c:ser>
          <c:idx val="0"/>
          <c:order val="0"/>
          <c:tx>
            <c:strRef>
              <c:f>показатели!$A$6</c:f>
              <c:strCache>
                <c:ptCount val="1"/>
                <c:pt idx="0">
                  <c:v>количество малых предприятий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7326490143473695E-2"/>
                  <c:y val="-1.6393442622950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43252070453750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96593957774408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65939577744071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19923014114080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показатели!$H$6:$L$6</c:f>
              <c:numCache>
                <c:formatCode>General</c:formatCode>
                <c:ptCount val="5"/>
                <c:pt idx="0">
                  <c:v>357</c:v>
                </c:pt>
                <c:pt idx="1">
                  <c:v>342</c:v>
                </c:pt>
                <c:pt idx="2">
                  <c:v>331</c:v>
                </c:pt>
                <c:pt idx="3">
                  <c:v>322</c:v>
                </c:pt>
                <c:pt idx="4" formatCode="#,##0">
                  <c:v>315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0631680"/>
        <c:axId val="650635208"/>
      </c:barChart>
      <c:lineChart>
        <c:grouping val="standard"/>
        <c:varyColors val="0"/>
        <c:ser>
          <c:idx val="2"/>
          <c:order val="3"/>
          <c:tx>
            <c:strRef>
              <c:f>показатели!$A$2</c:f>
              <c:strCache>
                <c:ptCount val="1"/>
                <c:pt idx="0">
                  <c:v>1. Количество субъектов малого и среднего предпринимательства на конец года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1.5984959872925839E-2"/>
                  <c:y val="-5.0338411152138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3977439809388844E-2"/>
                  <c:y val="-5.7529612745300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664159978820977E-2"/>
                  <c:y val="-5.03384111521380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962399682314756E-2"/>
                  <c:y val="-4.6742810355556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969919745851727E-2"/>
                  <c:y val="-5.75296127453006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показатели!$H$2:$L$2</c:f>
              <c:numCache>
                <c:formatCode>#,##0</c:formatCode>
                <c:ptCount val="5"/>
                <c:pt idx="0">
                  <c:v>1378</c:v>
                </c:pt>
                <c:pt idx="1">
                  <c:v>1386</c:v>
                </c:pt>
                <c:pt idx="2">
                  <c:v>1423</c:v>
                </c:pt>
                <c:pt idx="3">
                  <c:v>1452</c:v>
                </c:pt>
                <c:pt idx="4">
                  <c:v>1508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50632464"/>
        <c:axId val="650634816"/>
      </c:lineChart>
      <c:dateAx>
        <c:axId val="650632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634816"/>
        <c:crosses val="autoZero"/>
        <c:auto val="0"/>
        <c:lblOffset val="100"/>
        <c:baseTimeUnit val="days"/>
      </c:dateAx>
      <c:valAx>
        <c:axId val="65063481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650632464"/>
        <c:crosses val="autoZero"/>
        <c:crossBetween val="between"/>
      </c:valAx>
      <c:valAx>
        <c:axId val="650635208"/>
        <c:scaling>
          <c:orientation val="minMax"/>
        </c:scaling>
        <c:delete val="1"/>
        <c:axPos val="r"/>
        <c:numFmt formatCode="General" sourceLinked="1"/>
        <c:majorTickMark val="out"/>
        <c:minorTickMark val="none"/>
        <c:tickLblPos val="nextTo"/>
        <c:crossAx val="650631680"/>
        <c:crosses val="max"/>
        <c:crossBetween val="between"/>
      </c:valAx>
      <c:catAx>
        <c:axId val="6506316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506352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340549114552096E-2"/>
          <c:y val="0.82095359493997677"/>
          <c:w val="0.94866211535759126"/>
          <c:h val="0.157472892732670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Отраслевое распределение малого предпринимательства</a:t>
            </a:r>
          </a:p>
        </c:rich>
      </c:tx>
      <c:layout>
        <c:manualLayout>
          <c:xMode val="edge"/>
          <c:yMode val="edge"/>
          <c:x val="0.2551706036745407"/>
          <c:y val="2.315485156433508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5785236419660262"/>
          <c:y val="0.23046850393700788"/>
          <c:w val="0.68157091259805813"/>
          <c:h val="0.54156299212598424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</c:dPt>
          <c:dLbls>
            <c:dLbl>
              <c:idx val="0"/>
              <c:layout>
                <c:manualLayout>
                  <c:x val="3.2692308104839342E-2"/>
                  <c:y val="0.11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067842892820872E-2"/>
                  <c:y val="1.60424442357549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827724621791399"/>
                      <c:h val="0.10833333333333334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3.4209439490499878E-2"/>
                  <c:y val="4.56548436032651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368053106006628E-2"/>
                  <c:y val="4.317019933861478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03418433762015"/>
                      <c:h val="0.2259237320105629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6.8167012241401995E-2"/>
                  <c:y val="9.86619791792081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710823909531498"/>
                      <c:h val="0.24668705402650357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4.4348390215358781E-2"/>
                  <c:y val="-3.85703163251382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216253028954899E-18"/>
                  <c:y val="-0.145833333333333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2.4519231078629505E-2"/>
                  <c:y val="-4.583333333333335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'по видам д-ти'!$A$2:$A$9</c:f>
              <c:strCache>
                <c:ptCount val="8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Строительство</c:v>
                </c:pt>
                <c:pt idx="2">
                  <c:v>Обрабатывающие производства</c:v>
                </c:pt>
                <c:pt idx="3">
                  <c:v>Транспортировка и хранение</c:v>
                </c:pt>
                <c:pt idx="4">
                  <c:v>Деятельность профессиональная, научная и техническая</c:v>
                </c:pt>
                <c:pt idx="5">
                  <c:v>Предоставление прочих видов услуг</c:v>
                </c:pt>
                <c:pt idx="6">
                  <c:v>Деятельность по операциям с недвижимым имуществом</c:v>
                </c:pt>
                <c:pt idx="7">
                  <c:v>Прочие</c:v>
                </c:pt>
              </c:strCache>
            </c:strRef>
          </c:cat>
          <c:val>
            <c:numRef>
              <c:f>'по видам д-ти'!$J$2:$J$9</c:f>
              <c:numCache>
                <c:formatCode>General</c:formatCode>
                <c:ptCount val="8"/>
                <c:pt idx="0">
                  <c:v>569</c:v>
                </c:pt>
                <c:pt idx="1">
                  <c:v>131</c:v>
                </c:pt>
                <c:pt idx="2">
                  <c:v>118</c:v>
                </c:pt>
                <c:pt idx="3">
                  <c:v>103</c:v>
                </c:pt>
                <c:pt idx="4">
                  <c:v>97</c:v>
                </c:pt>
                <c:pt idx="5">
                  <c:v>95</c:v>
                </c:pt>
                <c:pt idx="6">
                  <c:v>84</c:v>
                </c:pt>
                <c:pt idx="7">
                  <c:v>311</c:v>
                </c:pt>
              </c:numCache>
            </c:numRef>
          </c:val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300" b="0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 cap="none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Среднесписочная численность работников субъектов малого и среднего предпринимательства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300" b="0" i="0" u="none" strike="noStrike" kern="1200" cap="all" spc="12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4021653356289607E-2"/>
          <c:y val="0.15039213732759329"/>
          <c:w val="0.85718246558981548"/>
          <c:h val="0.56270774493205256"/>
        </c:manualLayout>
      </c:layout>
      <c:bar3DChart>
        <c:barDir val="col"/>
        <c:grouping val="stacked"/>
        <c:varyColors val="0"/>
        <c:ser>
          <c:idx val="3"/>
          <c:order val="1"/>
          <c:tx>
            <c:strRef>
              <c:f>показатели!$A$25</c:f>
              <c:strCache>
                <c:ptCount val="1"/>
                <c:pt idx="0">
                  <c:v>малых предприятий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1.597744203249837E-2"/>
                  <c:y val="-3.80824325738543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0"/>
              <a:lstStyle/>
              <a:p>
                <a:pPr algn="l"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показатели!$H$25:$L$25</c:f>
              <c:numCache>
                <c:formatCode>#,##0</c:formatCode>
                <c:ptCount val="5"/>
                <c:pt idx="0">
                  <c:v>2129</c:v>
                </c:pt>
                <c:pt idx="1">
                  <c:v>2027</c:v>
                </c:pt>
                <c:pt idx="2">
                  <c:v>1656.3799999999999</c:v>
                </c:pt>
                <c:pt idx="3">
                  <c:v>1674</c:v>
                </c:pt>
                <c:pt idx="4">
                  <c:v>1551.9070000000006</c:v>
                </c:pt>
              </c:numCache>
            </c:numRef>
          </c:val>
        </c:ser>
        <c:ser>
          <c:idx val="0"/>
          <c:order val="2"/>
          <c:tx>
            <c:strRef>
              <c:f>показатели!$A$29</c:f>
              <c:strCache>
                <c:ptCount val="1"/>
                <c:pt idx="0">
                  <c:v>средних предприятий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показатели!$H$29:$L$29</c:f>
              <c:numCache>
                <c:formatCode>#,##0</c:formatCode>
                <c:ptCount val="5"/>
                <c:pt idx="0">
                  <c:v>397</c:v>
                </c:pt>
                <c:pt idx="1">
                  <c:v>535</c:v>
                </c:pt>
                <c:pt idx="2">
                  <c:v>675</c:v>
                </c:pt>
                <c:pt idx="3">
                  <c:v>563</c:v>
                </c:pt>
                <c:pt idx="4">
                  <c:v>608</c:v>
                </c:pt>
              </c:numCache>
            </c:numRef>
          </c:val>
        </c:ser>
        <c:ser>
          <c:idx val="1"/>
          <c:order val="3"/>
          <c:tx>
            <c:strRef>
              <c:f>показатели!$A$33</c:f>
              <c:strCache>
                <c:ptCount val="1"/>
                <c:pt idx="0">
                  <c:v>индивидуальных предпринимателей,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показатели!$H$33:$L$33</c:f>
              <c:numCache>
                <c:formatCode>#,##0</c:formatCode>
                <c:ptCount val="5"/>
                <c:pt idx="0">
                  <c:v>1017</c:v>
                </c:pt>
                <c:pt idx="1">
                  <c:v>1039</c:v>
                </c:pt>
                <c:pt idx="2">
                  <c:v>1085</c:v>
                </c:pt>
                <c:pt idx="3">
                  <c:v>1124</c:v>
                </c:pt>
                <c:pt idx="4">
                  <c:v>1187</c:v>
                </c:pt>
              </c:numCache>
            </c:numRef>
          </c:val>
        </c:ser>
        <c:ser>
          <c:idx val="4"/>
          <c:order val="4"/>
          <c:tx>
            <c:strRef>
              <c:f>показатели!$A$37</c:f>
              <c:strCache>
                <c:ptCount val="1"/>
                <c:pt idx="0">
                  <c:v>работников у индивидуальных предпринимателей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показатели!$H$1:$L$1</c:f>
              <c:strCache>
                <c:ptCount val="5"/>
                <c:pt idx="0">
                  <c:v>2020 год</c:v>
                </c:pt>
                <c:pt idx="1">
                  <c:v>2021 год</c:v>
                </c:pt>
                <c:pt idx="2">
                  <c:v>2022 год</c:v>
                </c:pt>
                <c:pt idx="3">
                  <c:v>2023 год</c:v>
                </c:pt>
                <c:pt idx="4">
                  <c:v>2024 год</c:v>
                </c:pt>
              </c:strCache>
            </c:strRef>
          </c:cat>
          <c:val>
            <c:numRef>
              <c:f>показатели!$H$37:$L$37</c:f>
              <c:numCache>
                <c:formatCode>#,##0</c:formatCode>
                <c:ptCount val="5"/>
                <c:pt idx="0">
                  <c:v>1162</c:v>
                </c:pt>
                <c:pt idx="1">
                  <c:v>1063</c:v>
                </c:pt>
                <c:pt idx="2">
                  <c:v>1029</c:v>
                </c:pt>
                <c:pt idx="3">
                  <c:v>1024</c:v>
                </c:pt>
                <c:pt idx="4">
                  <c:v>995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9"/>
        <c:shape val="cylinder"/>
        <c:axId val="650632856"/>
        <c:axId val="650634424"/>
        <c:axId val="0"/>
        <c:extLst>
          <c:ext xmlns:c15="http://schemas.microsoft.com/office/drawing/2012/chart" uri="{02D57815-91ED-43cb-92C2-25804820EDAC}">
            <c15:filteredBar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'[показатели МСП итог.xlsx]сводная таблица'!$A$22:$B$22</c15:sqref>
                        </c15:formulaRef>
                      </c:ext>
                    </c:extLst>
                    <c:strCache>
                      <c:ptCount val="1"/>
                      <c:pt idx="0">
                        <c:v>работников у индивидуальных предпринимателей, чел.</c:v>
                      </c:pt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  <a:sp3d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000" b="0" i="0" u="none" strike="noStrike" kern="1200" baseline="0">
                          <a:solidFill>
                            <a:schemeClr val="lt1"/>
                          </a:solidFill>
                          <a:latin typeface="Times New Roman" panose="02020603050405020304" pitchFamily="18" charset="0"/>
                          <a:ea typeface="+mn-ea"/>
                          <a:cs typeface="Times New Roman" panose="02020603050405020304" pitchFamily="18" charset="0"/>
                        </a:defRPr>
                      </a:pPr>
                      <a:endParaRPr lang="ru-RU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показатели!$H$1:$L$1</c15:sqref>
                        </c15:formulaRef>
                      </c:ext>
                    </c:extLst>
                    <c:strCache>
                      <c:ptCount val="5"/>
                      <c:pt idx="0">
                        <c:v>2020 год</c:v>
                      </c:pt>
                      <c:pt idx="1">
                        <c:v>2021 год</c:v>
                      </c:pt>
                      <c:pt idx="2">
                        <c:v>2022 год</c:v>
                      </c:pt>
                      <c:pt idx="3">
                        <c:v>2023 год</c:v>
                      </c:pt>
                      <c:pt idx="4">
                        <c:v>2024 год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'[показатели МСП итог.xlsx]сводная таблица'!$G$22:$L$22</c15:sqref>
                        </c15:formulaRef>
                      </c:ext>
                    </c:extLst>
                    <c:numCache>
                      <c:formatCode>General</c:formatCode>
                      <c:ptCount val="6"/>
                      <c:pt idx="0">
                        <c:v>1247</c:v>
                      </c:pt>
                      <c:pt idx="1">
                        <c:v>1162</c:v>
                      </c:pt>
                      <c:pt idx="2">
                        <c:v>1063</c:v>
                      </c:pt>
                      <c:pt idx="3">
                        <c:v>1029</c:v>
                      </c:pt>
                      <c:pt idx="4">
                        <c:v>1024</c:v>
                      </c:pt>
                      <c:pt idx="5">
                        <c:v>1013</c:v>
                      </c:pt>
                    </c:numCache>
                  </c:numRef>
                </c:val>
              </c15:ser>
            </c15:filteredBarSeries>
          </c:ext>
        </c:extLst>
      </c:bar3DChart>
      <c:catAx>
        <c:axId val="6506328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50634424"/>
        <c:crosses val="autoZero"/>
        <c:auto val="1"/>
        <c:lblAlgn val="ctr"/>
        <c:lblOffset val="100"/>
        <c:noMultiLvlLbl val="0"/>
      </c:catAx>
      <c:valAx>
        <c:axId val="65063442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650632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20478803260236886"/>
          <c:y val="0.77532024477108707"/>
          <c:w val="0.60487261659339131"/>
          <c:h val="0.224679755228912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8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Пацапунов Алексей Константинович</dc:creator>
  <cp:keywords/>
  <dc:description/>
  <cp:lastModifiedBy>Мария Ивановна Чумара</cp:lastModifiedBy>
  <cp:revision>16</cp:revision>
  <cp:lastPrinted>2025-04-21T08:43:00Z</cp:lastPrinted>
  <dcterms:created xsi:type="dcterms:W3CDTF">2025-04-21T05:55:00Z</dcterms:created>
  <dcterms:modified xsi:type="dcterms:W3CDTF">2025-04-21T10:02:00Z</dcterms:modified>
</cp:coreProperties>
</file>