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E76373" w:rsidP="00DE0C4F">
            <w:pPr>
              <w:shd w:val="clear" w:color="auto" w:fill="FFFFFF"/>
              <w:jc w:val="center"/>
              <w:rPr>
                <w:noProof/>
                <w:sz w:val="28"/>
                <w:szCs w:val="28"/>
              </w:rPr>
            </w:pPr>
            <w:r>
              <w:rPr>
                <w:noProof/>
                <w:sz w:val="28"/>
                <w:szCs w:val="28"/>
              </w:rPr>
              <w:t>15.11.2024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E76373" w:rsidRDefault="00E76373" w:rsidP="00B210ED">
            <w:pPr>
              <w:widowControl/>
              <w:autoSpaceDE/>
              <w:autoSpaceDN/>
              <w:adjustRightInd/>
              <w:jc w:val="both"/>
              <w:rPr>
                <w:sz w:val="28"/>
                <w:szCs w:val="28"/>
              </w:rPr>
            </w:pPr>
            <w:r w:rsidRPr="00E76373">
              <w:rPr>
                <w:sz w:val="28"/>
                <w:szCs w:val="28"/>
              </w:rPr>
              <w:t>233-п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8E326A" w:rsidRPr="005B5974" w:rsidRDefault="007C23D6" w:rsidP="008E326A">
      <w:pPr>
        <w:widowControl/>
        <w:numPr>
          <w:ilvl w:val="0"/>
          <w:numId w:val="42"/>
        </w:numPr>
        <w:tabs>
          <w:tab w:val="left" w:pos="1134"/>
        </w:tabs>
        <w:autoSpaceDE/>
        <w:autoSpaceDN/>
        <w:adjustRightInd/>
        <w:ind w:left="0" w:firstLine="851"/>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B205F6">
        <w:rPr>
          <w:sz w:val="26"/>
          <w:szCs w:val="26"/>
        </w:rPr>
        <w:t>.</w:t>
      </w:r>
    </w:p>
    <w:p w:rsidR="00E37E4B" w:rsidRDefault="00E37E4B" w:rsidP="008E326A">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1F7395" w:rsidRPr="001F7395" w:rsidRDefault="001F7395" w:rsidP="001F7395">
      <w:pPr>
        <w:widowControl/>
        <w:autoSpaceDE/>
        <w:autoSpaceDN/>
        <w:adjustRightInd/>
        <w:rPr>
          <w:sz w:val="26"/>
          <w:szCs w:val="26"/>
        </w:rPr>
      </w:pPr>
      <w:r w:rsidRPr="001F7395">
        <w:rPr>
          <w:sz w:val="26"/>
          <w:szCs w:val="26"/>
        </w:rPr>
        <w:t xml:space="preserve">Первый заместитель </w:t>
      </w:r>
    </w:p>
    <w:p w:rsidR="001F7395" w:rsidRPr="001F7395" w:rsidRDefault="001F7395" w:rsidP="001F7395">
      <w:pPr>
        <w:widowControl/>
        <w:autoSpaceDE/>
        <w:autoSpaceDN/>
        <w:adjustRightInd/>
        <w:rPr>
          <w:sz w:val="26"/>
          <w:szCs w:val="26"/>
        </w:rPr>
      </w:pPr>
      <w:proofErr w:type="gramStart"/>
      <w:r w:rsidRPr="001F7395">
        <w:rPr>
          <w:sz w:val="26"/>
          <w:szCs w:val="26"/>
        </w:rPr>
        <w:t>Главы</w:t>
      </w:r>
      <w:proofErr w:type="gramEnd"/>
      <w:r w:rsidRPr="001F7395">
        <w:rPr>
          <w:sz w:val="26"/>
          <w:szCs w:val="26"/>
        </w:rPr>
        <w:t xml:space="preserve"> ЗАТО г. Зеленогорск</w:t>
      </w:r>
      <w:r w:rsidRPr="001F7395">
        <w:rPr>
          <w:sz w:val="26"/>
          <w:szCs w:val="26"/>
        </w:rPr>
        <w:tab/>
      </w:r>
    </w:p>
    <w:p w:rsidR="001F7395" w:rsidRPr="001F7395" w:rsidRDefault="001F7395" w:rsidP="001F7395">
      <w:pPr>
        <w:widowControl/>
        <w:autoSpaceDE/>
        <w:autoSpaceDN/>
        <w:adjustRightInd/>
        <w:rPr>
          <w:sz w:val="26"/>
          <w:szCs w:val="26"/>
        </w:rPr>
      </w:pPr>
      <w:r w:rsidRPr="001F7395">
        <w:rPr>
          <w:sz w:val="26"/>
          <w:szCs w:val="26"/>
        </w:rPr>
        <w:t xml:space="preserve">по стратегическому планированию, </w:t>
      </w:r>
    </w:p>
    <w:p w:rsidR="00BF5F65" w:rsidRPr="00BF5F65" w:rsidRDefault="001F7395" w:rsidP="001F7395">
      <w:pPr>
        <w:widowControl/>
        <w:autoSpaceDE/>
        <w:autoSpaceDN/>
        <w:adjustRightInd/>
        <w:rPr>
          <w:sz w:val="26"/>
          <w:szCs w:val="26"/>
        </w:rPr>
      </w:pPr>
      <w:r w:rsidRPr="001F7395">
        <w:rPr>
          <w:sz w:val="26"/>
          <w:szCs w:val="26"/>
        </w:rPr>
        <w:t>экономическому развитию и финансам</w:t>
      </w:r>
      <w:r w:rsidR="00BF5F65" w:rsidRPr="00BF5F65">
        <w:rPr>
          <w:sz w:val="26"/>
          <w:szCs w:val="26"/>
        </w:rPr>
        <w:tab/>
      </w:r>
      <w:r w:rsidR="00BF5F65" w:rsidRPr="00BF5F65">
        <w:rPr>
          <w:sz w:val="26"/>
          <w:szCs w:val="26"/>
        </w:rPr>
        <w:tab/>
      </w:r>
      <w:r w:rsidR="008E326A">
        <w:rPr>
          <w:sz w:val="26"/>
          <w:szCs w:val="26"/>
        </w:rPr>
        <w:t xml:space="preserve">        </w:t>
      </w:r>
      <w:r w:rsidR="00BF5F65">
        <w:rPr>
          <w:sz w:val="26"/>
          <w:szCs w:val="26"/>
        </w:rPr>
        <w:t xml:space="preserve"> </w:t>
      </w:r>
      <w:r>
        <w:rPr>
          <w:sz w:val="26"/>
          <w:szCs w:val="26"/>
        </w:rPr>
        <w:t xml:space="preserve">                     М.В. Налобина</w:t>
      </w:r>
    </w:p>
    <w:p w:rsidR="00BF5F65" w:rsidRPr="00BF5F65" w:rsidRDefault="00BF5F65" w:rsidP="00D52C8C">
      <w:pPr>
        <w:rPr>
          <w:sz w:val="26"/>
          <w:szCs w:val="26"/>
        </w:rPr>
        <w:sectPr w:rsidR="00BF5F65" w:rsidRPr="00BF5F65" w:rsidSect="00774742">
          <w:footerReference w:type="default" r:id="rId10"/>
          <w:footerReference w:type="first" r:id="rId11"/>
          <w:pgSz w:w="11906" w:h="16838"/>
          <w:pgMar w:top="1134" w:right="850" w:bottom="1134" w:left="1701" w:header="708" w:footer="708" w:gutter="0"/>
          <w:cols w:space="708"/>
          <w:titlePg/>
          <w:docGrid w:linePitch="360"/>
        </w:sectPr>
      </w:pP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BE3A97">
        <w:rPr>
          <w:sz w:val="24"/>
          <w:szCs w:val="24"/>
        </w:rPr>
        <w:t xml:space="preserve">                               </w:t>
      </w:r>
      <w:r w:rsidR="00E76373">
        <w:rPr>
          <w:sz w:val="24"/>
          <w:szCs w:val="24"/>
        </w:rPr>
        <w:t xml:space="preserve">   </w:t>
      </w:r>
      <w:bookmarkStart w:id="0" w:name="_GoBack"/>
      <w:bookmarkEnd w:id="0"/>
      <w:r w:rsidR="00F442B2">
        <w:rPr>
          <w:sz w:val="24"/>
          <w:szCs w:val="24"/>
        </w:rPr>
        <w:t>о</w:t>
      </w:r>
      <w:r w:rsidR="007C23D6" w:rsidRPr="00926AC6">
        <w:rPr>
          <w:sz w:val="24"/>
          <w:szCs w:val="24"/>
        </w:rPr>
        <w:t>т</w:t>
      </w:r>
      <w:r w:rsidR="003C7B0A">
        <w:rPr>
          <w:sz w:val="24"/>
          <w:szCs w:val="24"/>
        </w:rPr>
        <w:t xml:space="preserve"> </w:t>
      </w:r>
      <w:r w:rsidR="007C23D6" w:rsidRPr="00926AC6">
        <w:rPr>
          <w:sz w:val="24"/>
          <w:szCs w:val="24"/>
        </w:rPr>
        <w:t>№</w:t>
      </w:r>
      <w:r w:rsidR="00307D27">
        <w:rPr>
          <w:sz w:val="24"/>
          <w:szCs w:val="24"/>
        </w:rPr>
        <w:t xml:space="preserve"> </w:t>
      </w:r>
      <w:r w:rsidR="00E76373">
        <w:rPr>
          <w:sz w:val="24"/>
          <w:szCs w:val="24"/>
        </w:rPr>
        <w:t>233-п</w:t>
      </w:r>
      <w:r w:rsidR="00FF47D9">
        <w:rPr>
          <w:sz w:val="24"/>
          <w:szCs w:val="24"/>
        </w:rPr>
        <w:t xml:space="preserve"> от </w:t>
      </w:r>
      <w:r w:rsidR="00E76373">
        <w:rPr>
          <w:sz w:val="24"/>
          <w:szCs w:val="24"/>
        </w:rPr>
        <w:t>15.11.2024</w:t>
      </w:r>
      <w:r w:rsidR="00916FCC">
        <w:rPr>
          <w:sz w:val="24"/>
          <w:szCs w:val="24"/>
        </w:rPr>
        <w:t xml:space="preserve"> </w:t>
      </w:r>
      <w:r w:rsidR="007C23D6"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(подвида)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80550C">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16FCC" w:rsidRPr="00D22611" w:rsidTr="00916FCC">
        <w:trPr>
          <w:trHeight w:val="557"/>
        </w:trPr>
        <w:tc>
          <w:tcPr>
            <w:tcW w:w="2148" w:type="dxa"/>
            <w:shd w:val="clear" w:color="auto" w:fill="auto"/>
            <w:vAlign w:val="center"/>
          </w:tcPr>
          <w:p w:rsidR="00916FCC" w:rsidRDefault="00916FC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916FCC" w:rsidRPr="00D22611" w:rsidRDefault="00916FCC" w:rsidP="0080550C">
            <w:pPr>
              <w:widowControl/>
              <w:autoSpaceDE/>
              <w:autoSpaceDN/>
              <w:adjustRightInd/>
              <w:rPr>
                <w:color w:val="000000"/>
                <w:sz w:val="24"/>
                <w:szCs w:val="24"/>
              </w:rPr>
            </w:pPr>
            <w:r>
              <w:rPr>
                <w:color w:val="000000"/>
                <w:sz w:val="24"/>
                <w:szCs w:val="24"/>
              </w:rPr>
              <w:t>2 02 45050 04 0000 150</w:t>
            </w:r>
          </w:p>
        </w:tc>
        <w:tc>
          <w:tcPr>
            <w:tcW w:w="9639" w:type="dxa"/>
            <w:shd w:val="clear" w:color="auto" w:fill="auto"/>
            <w:vAlign w:val="center"/>
          </w:tcPr>
          <w:p w:rsidR="00916FCC" w:rsidRPr="00F0685D" w:rsidRDefault="00916FCC" w:rsidP="00722E59">
            <w:pPr>
              <w:widowControl/>
              <w:jc w:val="both"/>
              <w:rPr>
                <w:color w:val="000000"/>
                <w:sz w:val="24"/>
                <w:szCs w:val="24"/>
              </w:rPr>
            </w:pPr>
            <w:r>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93388B">
              <w:rPr>
                <w:sz w:val="24"/>
                <w:szCs w:val="24"/>
              </w:rPr>
              <w:t>Федерации, г. Байконура</w:t>
            </w:r>
            <w:r>
              <w:rPr>
                <w:sz w:val="24"/>
                <w:szCs w:val="24"/>
              </w:rPr>
              <w:t xml:space="preserve"> и федеральной территории </w:t>
            </w:r>
            <w:r w:rsidR="00722E59">
              <w:rPr>
                <w:sz w:val="24"/>
                <w:szCs w:val="24"/>
              </w:rPr>
              <w:t>«</w:t>
            </w:r>
            <w:r>
              <w:rPr>
                <w:sz w:val="24"/>
                <w:szCs w:val="24"/>
              </w:rPr>
              <w:t>Сириус</w:t>
            </w:r>
            <w:r w:rsidR="00722E59">
              <w:rPr>
                <w:sz w:val="24"/>
                <w:szCs w:val="24"/>
              </w:rPr>
              <w:t>»</w:t>
            </w:r>
            <w:r>
              <w:rPr>
                <w:sz w:val="24"/>
                <w:szCs w:val="24"/>
              </w:rPr>
              <w:t xml:space="preserve">, </w:t>
            </w:r>
            <w:r>
              <w:rPr>
                <w:sz w:val="24"/>
                <w:szCs w:val="24"/>
              </w:rPr>
              <w:lastRenderedPageBreak/>
              <w:t>муниципальных общеобразовательных организаций и профессиональных образовательных организаций</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lastRenderedPageBreak/>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EE41F1" w:rsidRPr="00D22611" w:rsidTr="00F0685D">
        <w:trPr>
          <w:trHeight w:val="1408"/>
        </w:trPr>
        <w:tc>
          <w:tcPr>
            <w:tcW w:w="2148" w:type="dxa"/>
            <w:shd w:val="clear" w:color="auto" w:fill="auto"/>
            <w:vAlign w:val="center"/>
          </w:tcPr>
          <w:p w:rsidR="00EE41F1" w:rsidRPr="00D22611" w:rsidRDefault="00EE41F1"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E41F1" w:rsidRPr="00D22611" w:rsidRDefault="00EE41F1" w:rsidP="0080550C">
            <w:pPr>
              <w:widowControl/>
              <w:autoSpaceDE/>
              <w:autoSpaceDN/>
              <w:adjustRightInd/>
              <w:rPr>
                <w:color w:val="000000"/>
                <w:sz w:val="24"/>
                <w:szCs w:val="24"/>
              </w:rPr>
            </w:pPr>
            <w:r w:rsidRPr="00EE41F1">
              <w:rPr>
                <w:color w:val="000000"/>
                <w:sz w:val="24"/>
                <w:szCs w:val="24"/>
              </w:rPr>
              <w:t>202 49999 04 5299 150</w:t>
            </w:r>
          </w:p>
        </w:tc>
        <w:tc>
          <w:tcPr>
            <w:tcW w:w="9639" w:type="dxa"/>
            <w:shd w:val="clear" w:color="auto" w:fill="auto"/>
            <w:vAlign w:val="center"/>
          </w:tcPr>
          <w:p w:rsidR="00EE41F1" w:rsidRPr="00F0685D" w:rsidRDefault="00EE41F1" w:rsidP="0080550C">
            <w:pPr>
              <w:widowControl/>
              <w:autoSpaceDE/>
              <w:autoSpaceDN/>
              <w:adjustRightInd/>
              <w:jc w:val="both"/>
              <w:rPr>
                <w:color w:val="000000"/>
                <w:sz w:val="24"/>
                <w:szCs w:val="24"/>
              </w:rPr>
            </w:pPr>
            <w:r w:rsidRPr="00EE41F1">
              <w:rPr>
                <w:color w:val="000000"/>
                <w:sz w:val="24"/>
                <w:szCs w:val="24"/>
              </w:rPr>
              <w:t>Иные межбюджетные трансферты бюджетам муниципальных образований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E326A" w:rsidRPr="00D22611" w:rsidTr="00F0685D">
        <w:trPr>
          <w:trHeight w:val="1408"/>
        </w:trPr>
        <w:tc>
          <w:tcPr>
            <w:tcW w:w="2148" w:type="dxa"/>
            <w:shd w:val="clear" w:color="auto" w:fill="auto"/>
            <w:vAlign w:val="center"/>
          </w:tcPr>
          <w:p w:rsidR="008E326A" w:rsidRPr="00D22611" w:rsidRDefault="008E326A"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E326A" w:rsidRPr="00D22611" w:rsidRDefault="008E326A" w:rsidP="0080550C">
            <w:pPr>
              <w:widowControl/>
              <w:autoSpaceDE/>
              <w:autoSpaceDN/>
              <w:adjustRightInd/>
              <w:rPr>
                <w:color w:val="000000"/>
                <w:sz w:val="24"/>
                <w:szCs w:val="24"/>
              </w:rPr>
            </w:pPr>
            <w:r>
              <w:rPr>
                <w:color w:val="000000"/>
                <w:sz w:val="24"/>
                <w:szCs w:val="24"/>
              </w:rPr>
              <w:t>2 02 49999 04 7463 150</w:t>
            </w:r>
          </w:p>
        </w:tc>
        <w:tc>
          <w:tcPr>
            <w:tcW w:w="9639" w:type="dxa"/>
            <w:shd w:val="clear" w:color="auto" w:fill="auto"/>
            <w:vAlign w:val="center"/>
          </w:tcPr>
          <w:p w:rsidR="008E326A" w:rsidRPr="00F0685D" w:rsidRDefault="008E326A" w:rsidP="0080550C">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54247">
        <w:trPr>
          <w:trHeight w:val="616"/>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BE3A97" w:rsidRPr="00D22611" w:rsidTr="002E4679">
        <w:trPr>
          <w:trHeight w:val="660"/>
        </w:trPr>
        <w:tc>
          <w:tcPr>
            <w:tcW w:w="2148" w:type="dxa"/>
            <w:shd w:val="clear" w:color="auto" w:fill="auto"/>
            <w:vAlign w:val="center"/>
          </w:tcPr>
          <w:p w:rsidR="00BE3A97" w:rsidRPr="00D22611" w:rsidRDefault="00BE3A97" w:rsidP="0080550C">
            <w:pPr>
              <w:widowControl/>
              <w:autoSpaceDE/>
              <w:autoSpaceDN/>
              <w:adjustRightInd/>
              <w:jc w:val="center"/>
              <w:rPr>
                <w:b/>
                <w:bCs/>
                <w:color w:val="000000"/>
                <w:sz w:val="24"/>
                <w:szCs w:val="24"/>
              </w:rPr>
            </w:pPr>
            <w:r>
              <w:rPr>
                <w:b/>
                <w:bCs/>
                <w:color w:val="000000"/>
                <w:sz w:val="24"/>
                <w:szCs w:val="24"/>
              </w:rPr>
              <w:t>075</w:t>
            </w:r>
          </w:p>
        </w:tc>
        <w:tc>
          <w:tcPr>
            <w:tcW w:w="2950" w:type="dxa"/>
            <w:shd w:val="clear" w:color="auto" w:fill="auto"/>
            <w:vAlign w:val="center"/>
          </w:tcPr>
          <w:p w:rsidR="00BE3A97" w:rsidRPr="00D22611" w:rsidRDefault="00BE3A97" w:rsidP="0080550C">
            <w:pPr>
              <w:widowControl/>
              <w:autoSpaceDE/>
              <w:autoSpaceDN/>
              <w:adjustRightInd/>
              <w:rPr>
                <w:color w:val="000000"/>
                <w:sz w:val="24"/>
                <w:szCs w:val="24"/>
              </w:rPr>
            </w:pPr>
          </w:p>
        </w:tc>
        <w:tc>
          <w:tcPr>
            <w:tcW w:w="9639" w:type="dxa"/>
            <w:shd w:val="clear" w:color="auto" w:fill="auto"/>
            <w:vAlign w:val="center"/>
          </w:tcPr>
          <w:p w:rsidR="00BE3A97" w:rsidRPr="00D22611" w:rsidRDefault="00BE3A97" w:rsidP="0080550C">
            <w:pPr>
              <w:widowControl/>
              <w:autoSpaceDE/>
              <w:autoSpaceDN/>
              <w:adjustRightInd/>
              <w:jc w:val="both"/>
              <w:rPr>
                <w:b/>
                <w:bCs/>
                <w:color w:val="000000"/>
                <w:sz w:val="24"/>
                <w:szCs w:val="24"/>
              </w:rPr>
            </w:pPr>
            <w:r>
              <w:rPr>
                <w:b/>
                <w:bCs/>
                <w:color w:val="000000"/>
                <w:sz w:val="24"/>
                <w:szCs w:val="24"/>
              </w:rPr>
              <w:t>М</w:t>
            </w:r>
            <w:r w:rsidRPr="00BE3A97">
              <w:rPr>
                <w:b/>
                <w:bCs/>
                <w:color w:val="000000"/>
                <w:sz w:val="24"/>
                <w:szCs w:val="24"/>
              </w:rPr>
              <w:t>инистерство образования Красноярского края</w:t>
            </w:r>
          </w:p>
        </w:tc>
      </w:tr>
      <w:tr w:rsidR="00BE3A97" w:rsidRPr="00D22611" w:rsidTr="00BE3A97">
        <w:trPr>
          <w:trHeight w:val="1235"/>
        </w:trPr>
        <w:tc>
          <w:tcPr>
            <w:tcW w:w="2148" w:type="dxa"/>
            <w:shd w:val="clear" w:color="auto" w:fill="auto"/>
            <w:vAlign w:val="center"/>
          </w:tcPr>
          <w:p w:rsidR="00BE3A97" w:rsidRPr="00BE3A97" w:rsidRDefault="00BE3A97" w:rsidP="0080550C">
            <w:pPr>
              <w:widowControl/>
              <w:autoSpaceDE/>
              <w:autoSpaceDN/>
              <w:adjustRightInd/>
              <w:jc w:val="center"/>
              <w:rPr>
                <w:bCs/>
                <w:color w:val="000000"/>
                <w:sz w:val="24"/>
                <w:szCs w:val="24"/>
              </w:rPr>
            </w:pPr>
            <w:r w:rsidRPr="00BE3A97">
              <w:rPr>
                <w:bCs/>
                <w:color w:val="000000"/>
                <w:sz w:val="24"/>
                <w:szCs w:val="24"/>
              </w:rPr>
              <w:t>075</w:t>
            </w:r>
          </w:p>
        </w:tc>
        <w:tc>
          <w:tcPr>
            <w:tcW w:w="2950" w:type="dxa"/>
            <w:shd w:val="clear" w:color="auto" w:fill="auto"/>
            <w:vAlign w:val="center"/>
          </w:tcPr>
          <w:p w:rsidR="00BE3A97" w:rsidRPr="00D22611" w:rsidRDefault="00BE3A97" w:rsidP="0080550C">
            <w:pPr>
              <w:widowControl/>
              <w:autoSpaceDE/>
              <w:autoSpaceDN/>
              <w:adjustRightInd/>
              <w:rPr>
                <w:color w:val="000000"/>
                <w:sz w:val="24"/>
                <w:szCs w:val="24"/>
              </w:rPr>
            </w:pPr>
            <w:r w:rsidRPr="00BE3A97">
              <w:rPr>
                <w:color w:val="000000"/>
                <w:sz w:val="24"/>
                <w:szCs w:val="24"/>
              </w:rPr>
              <w:t>1</w:t>
            </w:r>
            <w:r>
              <w:rPr>
                <w:color w:val="000000"/>
                <w:sz w:val="24"/>
                <w:szCs w:val="24"/>
              </w:rPr>
              <w:t xml:space="preserve"> </w:t>
            </w:r>
            <w:r w:rsidRPr="00BE3A97">
              <w:rPr>
                <w:color w:val="000000"/>
                <w:sz w:val="24"/>
                <w:szCs w:val="24"/>
              </w:rPr>
              <w:t>16</w:t>
            </w:r>
            <w:r>
              <w:rPr>
                <w:color w:val="000000"/>
                <w:sz w:val="24"/>
                <w:szCs w:val="24"/>
              </w:rPr>
              <w:t xml:space="preserve"> </w:t>
            </w:r>
            <w:r w:rsidRPr="00BE3A97">
              <w:rPr>
                <w:color w:val="000000"/>
                <w:sz w:val="24"/>
                <w:szCs w:val="24"/>
              </w:rPr>
              <w:t>01193</w:t>
            </w:r>
            <w:r>
              <w:rPr>
                <w:color w:val="000000"/>
                <w:sz w:val="24"/>
                <w:szCs w:val="24"/>
              </w:rPr>
              <w:t xml:space="preserve"> </w:t>
            </w:r>
            <w:r w:rsidRPr="00BE3A97">
              <w:rPr>
                <w:color w:val="000000"/>
                <w:sz w:val="24"/>
                <w:szCs w:val="24"/>
              </w:rPr>
              <w:t>01</w:t>
            </w:r>
            <w:r>
              <w:rPr>
                <w:color w:val="000000"/>
                <w:sz w:val="24"/>
                <w:szCs w:val="24"/>
              </w:rPr>
              <w:t xml:space="preserve"> </w:t>
            </w:r>
            <w:r w:rsidRPr="00BE3A97">
              <w:rPr>
                <w:color w:val="000000"/>
                <w:sz w:val="24"/>
                <w:szCs w:val="24"/>
              </w:rPr>
              <w:t>0000</w:t>
            </w:r>
            <w:r>
              <w:rPr>
                <w:color w:val="000000"/>
                <w:sz w:val="24"/>
                <w:szCs w:val="24"/>
              </w:rPr>
              <w:t xml:space="preserve"> </w:t>
            </w:r>
            <w:r w:rsidRPr="00BE3A97">
              <w:rPr>
                <w:color w:val="000000"/>
                <w:sz w:val="24"/>
                <w:szCs w:val="24"/>
              </w:rPr>
              <w:t>140</w:t>
            </w:r>
          </w:p>
        </w:tc>
        <w:tc>
          <w:tcPr>
            <w:tcW w:w="9639" w:type="dxa"/>
            <w:shd w:val="clear" w:color="auto" w:fill="auto"/>
            <w:vAlign w:val="center"/>
          </w:tcPr>
          <w:p w:rsidR="00BE3A97" w:rsidRPr="00BE3A97" w:rsidRDefault="00B205F6" w:rsidP="0080550C">
            <w:pPr>
              <w:widowControl/>
              <w:autoSpaceDE/>
              <w:autoSpaceDN/>
              <w:adjustRightInd/>
              <w:jc w:val="both"/>
              <w:rPr>
                <w:bCs/>
                <w:color w:val="000000"/>
                <w:sz w:val="24"/>
                <w:szCs w:val="24"/>
              </w:rPr>
            </w:pPr>
            <w:r w:rsidRPr="00B205F6">
              <w:rPr>
                <w:bCs/>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B03033">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97" w:rsidRDefault="00BE3A97">
      <w:r>
        <w:separator/>
      </w:r>
    </w:p>
  </w:endnote>
  <w:endnote w:type="continuationSeparator" w:id="0">
    <w:p w:rsidR="00BE3A97" w:rsidRDefault="00BE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956010"/>
      <w:docPartObj>
        <w:docPartGallery w:val="Page Numbers (Bottom of Page)"/>
        <w:docPartUnique/>
      </w:docPartObj>
    </w:sdtPr>
    <w:sdtEndPr/>
    <w:sdtContent>
      <w:p w:rsidR="00BE3A97" w:rsidRDefault="00BE3A97">
        <w:pPr>
          <w:pStyle w:val="a6"/>
          <w:jc w:val="center"/>
        </w:pPr>
        <w:r>
          <w:fldChar w:fldCharType="begin"/>
        </w:r>
        <w:r>
          <w:instrText>PAGE   \* MERGEFORMAT</w:instrText>
        </w:r>
        <w:r>
          <w:fldChar w:fldCharType="separate"/>
        </w:r>
        <w:r w:rsidR="00E76373">
          <w:rPr>
            <w:noProof/>
          </w:rPr>
          <w:t>22</w:t>
        </w:r>
        <w:r>
          <w:fldChar w:fldCharType="end"/>
        </w:r>
      </w:p>
    </w:sdtContent>
  </w:sdt>
  <w:p w:rsidR="00BE3A97" w:rsidRPr="005E69C2" w:rsidRDefault="00BE3A97">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A97" w:rsidRDefault="00BE3A97">
    <w:pPr>
      <w:pStyle w:val="a6"/>
      <w:jc w:val="center"/>
    </w:pPr>
  </w:p>
  <w:p w:rsidR="00BE3A97" w:rsidRPr="00B86BBA" w:rsidRDefault="00BE3A97"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97" w:rsidRDefault="00BE3A97">
      <w:r>
        <w:separator/>
      </w:r>
    </w:p>
  </w:footnote>
  <w:footnote w:type="continuationSeparator" w:id="0">
    <w:p w:rsidR="00BE3A97" w:rsidRDefault="00BE3A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580C"/>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1F7395"/>
    <w:rsid w:val="00200218"/>
    <w:rsid w:val="002039F1"/>
    <w:rsid w:val="00203D22"/>
    <w:rsid w:val="002066D3"/>
    <w:rsid w:val="002201DB"/>
    <w:rsid w:val="002212D7"/>
    <w:rsid w:val="00234897"/>
    <w:rsid w:val="002359B0"/>
    <w:rsid w:val="00250504"/>
    <w:rsid w:val="002509B8"/>
    <w:rsid w:val="00252D14"/>
    <w:rsid w:val="00254247"/>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07D27"/>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1818"/>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C5FDE"/>
    <w:rsid w:val="006E373C"/>
    <w:rsid w:val="006E4345"/>
    <w:rsid w:val="006F36E3"/>
    <w:rsid w:val="006F3C7E"/>
    <w:rsid w:val="006F5839"/>
    <w:rsid w:val="00702674"/>
    <w:rsid w:val="00714E25"/>
    <w:rsid w:val="0071562A"/>
    <w:rsid w:val="0071580A"/>
    <w:rsid w:val="00715B76"/>
    <w:rsid w:val="00716263"/>
    <w:rsid w:val="00721613"/>
    <w:rsid w:val="00721F56"/>
    <w:rsid w:val="00722E59"/>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26A"/>
    <w:rsid w:val="008E3FDB"/>
    <w:rsid w:val="008E55D4"/>
    <w:rsid w:val="008F0598"/>
    <w:rsid w:val="008F39E7"/>
    <w:rsid w:val="008F4C6E"/>
    <w:rsid w:val="008F5BBF"/>
    <w:rsid w:val="0090660B"/>
    <w:rsid w:val="00916FCC"/>
    <w:rsid w:val="00917C9E"/>
    <w:rsid w:val="0092469B"/>
    <w:rsid w:val="00924E8E"/>
    <w:rsid w:val="009254ED"/>
    <w:rsid w:val="009256E4"/>
    <w:rsid w:val="009259B1"/>
    <w:rsid w:val="00927A75"/>
    <w:rsid w:val="0093302B"/>
    <w:rsid w:val="0093388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205F6"/>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14DD"/>
    <w:rsid w:val="00BC3673"/>
    <w:rsid w:val="00BC6056"/>
    <w:rsid w:val="00BC6256"/>
    <w:rsid w:val="00BC69B5"/>
    <w:rsid w:val="00BC70FE"/>
    <w:rsid w:val="00BD1650"/>
    <w:rsid w:val="00BD2C7D"/>
    <w:rsid w:val="00BE3A97"/>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0196"/>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373"/>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62EB"/>
    <w:rsid w:val="00ED764C"/>
    <w:rsid w:val="00EE03CA"/>
    <w:rsid w:val="00EE246F"/>
    <w:rsid w:val="00EE35BD"/>
    <w:rsid w:val="00EE41AA"/>
    <w:rsid w:val="00EE41F1"/>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7D9"/>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0BD6A7D4"/>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2EE3-0BEF-4332-BDEB-DDDF9B1C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31</Pages>
  <Words>8116</Words>
  <Characters>58409</Characters>
  <Application>Microsoft Office Word</Application>
  <DocSecurity>0</DocSecurity>
  <Lines>486</Lines>
  <Paragraphs>132</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57</cp:revision>
  <cp:lastPrinted>2024-11-15T09:32:00Z</cp:lastPrinted>
  <dcterms:created xsi:type="dcterms:W3CDTF">2024-01-26T07:34:00Z</dcterms:created>
  <dcterms:modified xsi:type="dcterms:W3CDTF">2024-11-18T01:24:00Z</dcterms:modified>
</cp:coreProperties>
</file>