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64D" w:rsidRPr="00791D40" w:rsidRDefault="0089564D" w:rsidP="00895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муниципальной программы в 20</w:t>
      </w:r>
      <w:r w:rsidR="00DB68E5" w:rsidRPr="0079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91D40" w:rsidRPr="0079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791D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89564D" w:rsidRPr="00791D40" w:rsidRDefault="0089564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026D" w:rsidRPr="00791D40" w:rsidRDefault="0008026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с Федеральным за</w:t>
      </w:r>
      <w:r w:rsidR="006B022F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коном от 24.07.2007 № 209-ФЗ «О</w:t>
      </w:r>
      <w:r w:rsidR="006B022F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развитии малого и среднего предпринимательства в Российской Федерации», в рамках </w:t>
      </w:r>
      <w:r w:rsidR="0026152E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государственной программы Красноярского края </w:t>
      </w:r>
      <w:r w:rsidR="006B022F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«Развитие малого и среднего предпринимательства и инновационной деятельности»</w:t>
      </w:r>
      <w:r w:rsidR="00621765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510567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программой</w:t>
      </w:r>
      <w:r w:rsidR="00621765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«Развитие малого и среднего предпринимательства в городе Зеленогорске» 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реализуются мероприятия поддержки субъектов малого и среднего предпринимательства </w:t>
      </w:r>
      <w:r w:rsidR="00AA203B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МСП) </w:t>
      </w:r>
      <w:r w:rsidR="00621765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26152E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21765"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Зеленогорска</w:t>
      </w:r>
      <w:r w:rsidRPr="00791D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026D" w:rsidRPr="00791D40" w:rsidRDefault="0008026D" w:rsidP="00895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 «Центр закупок, предпринимательства и обеспечения деятельности ОМС» </w:t>
      </w:r>
      <w:r w:rsidR="00876ED3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Комитетом по управлению имуществом </w:t>
      </w:r>
      <w:proofErr w:type="gramStart"/>
      <w:r w:rsidR="00876ED3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="00876ED3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</w:t>
      </w:r>
      <w:r w:rsidR="00621765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76ED3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Зе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леногорск</w:t>
      </w:r>
      <w:r w:rsidR="00876ED3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реализуются мероприяти</w:t>
      </w:r>
      <w:r w:rsidR="00A06211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я финансового, имущественного и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</w:t>
      </w:r>
      <w:r w:rsidR="0026152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о характера.</w:t>
      </w:r>
    </w:p>
    <w:p w:rsidR="006B022F" w:rsidRPr="00791D40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на реализацию меропр</w:t>
      </w:r>
      <w:r w:rsidR="0019176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иятий муниципальной программы в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30CE2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9176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году направлено 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10 286,8 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числе:</w:t>
      </w:r>
    </w:p>
    <w:p w:rsidR="006B022F" w:rsidRPr="00791D40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9 737,2 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– средства краевого бюджета; </w:t>
      </w:r>
    </w:p>
    <w:p w:rsidR="006B022F" w:rsidRPr="00791D40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549,6 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– средства местного бюджета.</w:t>
      </w:r>
    </w:p>
    <w:p w:rsidR="006B022F" w:rsidRPr="00791D40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краевого и местного бюджетов на конкурсной основе в </w:t>
      </w:r>
      <w:r w:rsidR="0019176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30CE2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C518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была предоставлена финансо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вая поддержка в форме субсидий 1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1 субъект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МСП, </w:t>
      </w:r>
      <w:r w:rsidR="00AA203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именно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B022F" w:rsidRPr="00791D40" w:rsidRDefault="00AA203B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возмещение затрат, связанных с осуществлением пре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дпринимательской деятельности, 2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субъектам на сумму 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634,9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(получателями субсидий сохранено 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89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мест);</w:t>
      </w:r>
    </w:p>
    <w:p w:rsidR="006B022F" w:rsidRPr="00791D40" w:rsidRDefault="00AA203B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 начало ведения предпринимательской деятельности 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субъектам МСП на сумму </w:t>
      </w:r>
      <w:r w:rsidR="00FB489B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2 096,9</w:t>
      </w:r>
      <w:r w:rsidR="006B022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в сфере:</w:t>
      </w:r>
    </w:p>
    <w:p w:rsidR="00801F3C" w:rsidRPr="00791D40" w:rsidRDefault="00801F3C" w:rsidP="00801F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1D40">
        <w:rPr>
          <w:rFonts w:eastAsia="Times New Roman" w:cs="Segoe UI Symbol"/>
          <w:sz w:val="26"/>
          <w:szCs w:val="26"/>
          <w:lang w:eastAsia="ru-RU"/>
        </w:rPr>
        <w:t>- </w:t>
      </w:r>
      <w:r w:rsidRPr="00791D40">
        <w:rPr>
          <w:rFonts w:ascii="Times New Roman" w:eastAsia="Times New Roman" w:hAnsi="Times New Roman"/>
          <w:sz w:val="26"/>
          <w:szCs w:val="26"/>
          <w:lang w:eastAsia="ru-RU"/>
        </w:rPr>
        <w:t>обрабатывающих производств (6 ед.) на сумму 1 316,7 тыс. рублей;</w:t>
      </w:r>
    </w:p>
    <w:p w:rsidR="00801F3C" w:rsidRPr="00791D40" w:rsidRDefault="00801F3C" w:rsidP="00801F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1D40">
        <w:rPr>
          <w:rFonts w:eastAsia="Times New Roman" w:cs="Segoe UI Symbol"/>
          <w:sz w:val="26"/>
          <w:szCs w:val="26"/>
          <w:lang w:eastAsia="ru-RU"/>
        </w:rPr>
        <w:t>- </w:t>
      </w:r>
      <w:r w:rsidRPr="00791D40">
        <w:rPr>
          <w:rFonts w:ascii="Times New Roman" w:eastAsia="Times New Roman" w:hAnsi="Times New Roman"/>
          <w:sz w:val="26"/>
          <w:szCs w:val="26"/>
          <w:lang w:eastAsia="ru-RU"/>
        </w:rPr>
        <w:t>бытовых услуг (2 ед.) на сумму 480,2 тыс. рублей;</w:t>
      </w:r>
    </w:p>
    <w:p w:rsidR="00801F3C" w:rsidRPr="00791D40" w:rsidRDefault="00801F3C" w:rsidP="00801F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1D40">
        <w:rPr>
          <w:rFonts w:eastAsia="Times New Roman" w:cs="Segoe UI Symbol"/>
          <w:sz w:val="26"/>
          <w:szCs w:val="26"/>
          <w:lang w:eastAsia="ru-RU"/>
        </w:rPr>
        <w:t>- </w:t>
      </w:r>
      <w:r w:rsidRPr="00791D40">
        <w:rPr>
          <w:rFonts w:ascii="Times New Roman" w:eastAsia="Times New Roman" w:hAnsi="Times New Roman"/>
          <w:sz w:val="26"/>
          <w:szCs w:val="26"/>
          <w:lang w:eastAsia="ru-RU"/>
        </w:rPr>
        <w:t>спорта (1 ед.) на сумму 300,0 тыс. рублей.</w:t>
      </w:r>
    </w:p>
    <w:p w:rsidR="006B022F" w:rsidRPr="00791D40" w:rsidRDefault="006B022F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Грантовая поддержка начинающих предпринимателей впервые была реализована в 2022 году и входит в перечень анти</w:t>
      </w:r>
      <w:r w:rsidR="009C518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кризисных мер, разработанных по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поручению Губернатора края. Гранты на начало ведения предпринимательской деятельности предоставляются на финансовое обеспечение затрат в раз</w:t>
      </w:r>
      <w:r w:rsidR="00801F3C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мере не более 300,0 тыс. рублей;</w:t>
      </w:r>
    </w:p>
    <w:p w:rsidR="00801F3C" w:rsidRPr="00791D40" w:rsidRDefault="00801F3C" w:rsidP="006B022F">
      <w:pPr>
        <w:tabs>
          <w:tab w:val="left" w:pos="-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3) на возмещение затрат, связанных с реализацией инвестиционных проектов в приоритетных отраслях, на сумму 7 555,0 тыс. рублей. Получателем субсидии сохранено 168 рабочих мест и планируется дополнительно создать еще 10 новых.</w:t>
      </w:r>
    </w:p>
    <w:p w:rsidR="00685759" w:rsidRPr="00791D40" w:rsidRDefault="00685759" w:rsidP="006857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/>
          <w:sz w:val="26"/>
          <w:szCs w:val="26"/>
          <w:lang w:eastAsia="ru-RU"/>
        </w:rPr>
        <w:t>В целях реализации имущественной поддержки в 2023 году сформирован прогнозный план дополнения перечня муниципального имущества, свободного от прав третьих лиц (за исключением имущественных прав субъектов малого и среднего предпринимательства) и предназначенного для предоставления субъектам малого и среднего предпринимательства. На условиях льготной аренды заключено 3 договора (общей площадью 537,9 кв.м.).</w:t>
      </w:r>
    </w:p>
    <w:p w:rsidR="008C1A4F" w:rsidRPr="00791D40" w:rsidRDefault="008C1A4F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отчетном году в рамках мероприятий информационного характера осуществлялось информирование субъектов МСП о формах поддержки, предусмотренных муниципальной и краевой программами, основными институтами развития и интеграторами мер поддержки МСП на федеральном и региональном уровнях (АО «Корпорация «МСП», АО «МСП Банк», АО «Агентство развития бизнеса и микрокредитная компания»). Информирование осуществлялось через 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средства массовой информации, официальный сайт </w:t>
      </w:r>
      <w:proofErr w:type="gramStart"/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 Зеленогорск в информационно-телекоммуникационной сети Интернет, а также посредством проведения онлайн-трансляций. В целях расширения информационной поддержки субъектов МСП созданы страницы в социальных сетях (ВКонтакте и Telegram-канал). Общее количество публикаций за 2023 год составило 3 347 ед.</w:t>
      </w:r>
    </w:p>
    <w:p w:rsidR="008C1A4F" w:rsidRPr="00791D40" w:rsidRDefault="008C1A4F" w:rsidP="008C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данным Единого реестра субъектов малого и среднего предпринимательства (далее – МСП) на 1 января 2024 года в городе Зеленогорске зарегистрировано 1 452 субъекта МСП, из них 322 малых предприятий, 6 средних предприятий и 1 124 индивидуальных предпринимателя. За 2023 год общее количество субъектов МСП увеличилось на 29 ед. (на 2%), количество индивидуальных предпринимателей увеличилось на 39 чел. (на 3,6%). Число малых и средних организаций сократилось на 9 ед. (на 2,7%) и 1 ед. соответственно. Число субъектов МСП на 10 000 жителей составило 272 ед. при плановом значении 239 ед. увеличение показателя обусловлено снижением чи</w:t>
      </w:r>
      <w:r w:rsid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сленности населения города с 61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150 человек до 53 402 человек.</w:t>
      </w:r>
    </w:p>
    <w:p w:rsidR="008C1A4F" w:rsidRPr="00791D40" w:rsidRDefault="008C1A4F" w:rsidP="008C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самозанятых граждан по состоянию на 1 января 2024 года составило 2 931 чел., за 2023 год их количество увеличилось на 852 чел. (на 41%).</w:t>
      </w:r>
    </w:p>
    <w:p w:rsidR="00516FB0" w:rsidRPr="00791D40" w:rsidRDefault="00516FB0" w:rsidP="008C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8C1A4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среднесписочная численность работающих на малых предприятиях снизилась на </w:t>
      </w:r>
      <w:r w:rsidR="008C1A4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(</w:t>
      </w:r>
      <w:r w:rsidR="008C1A4F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1,1</w:t>
      </w:r>
      <w:r w:rsidR="009C518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%), количество работников у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индивидуальных предпринимателей уменьшилось на </w:t>
      </w:r>
      <w:r w:rsidR="00B4122D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(</w:t>
      </w:r>
      <w:r w:rsidR="00B4122D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0,5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%). </w:t>
      </w:r>
    </w:p>
    <w:p w:rsidR="00516FB0" w:rsidRPr="00791D4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Среднесписочная численность работников организаций среднего бизнеса составила </w:t>
      </w:r>
      <w:r w:rsidR="00B4122D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563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B4122D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произошло </w:t>
      </w:r>
      <w:r w:rsidR="00B4122D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численности работников на 112</w:t>
      </w:r>
      <w:r w:rsidR="009C518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 w:rsidR="00B4122D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26,2%</w:t>
      </w:r>
      <w:r w:rsidR="00B4122D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полного сокращения численности в одной организации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16FB0" w:rsidRPr="00791D4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в малом и среднем бизнесе города занято </w:t>
      </w:r>
      <w:r w:rsid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4 385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человек:</w:t>
      </w:r>
    </w:p>
    <w:p w:rsidR="00516FB0" w:rsidRPr="00791D4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- 1 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124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индивидуальных предпринимателей;</w:t>
      </w:r>
    </w:p>
    <w:p w:rsidR="00516FB0" w:rsidRPr="00791D40" w:rsidRDefault="00791D4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- 1 024</w:t>
      </w:r>
      <w:bookmarkStart w:id="0" w:name="_GoBack"/>
      <w:bookmarkEnd w:id="0"/>
      <w:r w:rsidR="00516FB0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 у индивидуальных предпринимателей;</w:t>
      </w:r>
    </w:p>
    <w:p w:rsidR="00516FB0" w:rsidRPr="00791D40" w:rsidRDefault="00546BB6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- 1 674</w:t>
      </w:r>
      <w:r w:rsidR="00516FB0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 малых организаций;</w:t>
      </w:r>
    </w:p>
    <w:p w:rsidR="00516FB0" w:rsidRPr="00791D40" w:rsidRDefault="00546BB6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- 563</w:t>
      </w:r>
      <w:r w:rsidR="00516FB0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 средних организаций.</w:t>
      </w:r>
    </w:p>
    <w:p w:rsidR="00516FB0" w:rsidRPr="00791D4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25,2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общей численност</w:t>
      </w:r>
      <w:r w:rsidR="009C518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работников всех предприятий и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организаций города (в 202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– 25,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%). Фактически, каждый четвертый работник города занят в сфере МСП.</w:t>
      </w:r>
    </w:p>
    <w:p w:rsidR="003A1E3E" w:rsidRPr="00791D4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Среднемесячная заработная плата работников организаций малого и среднего бизнеса в 202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составила 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35 525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и </w:t>
      </w:r>
      <w:r w:rsidR="00782EAA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38 766,6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соответственно. Уровень индексации оплаты труда в 202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сос</w:t>
      </w:r>
      <w:r w:rsidR="00546BB6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тавил 15</w:t>
      </w:r>
      <w:r w:rsidR="009C518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в малом бизнесе и </w:t>
      </w:r>
      <w:r w:rsidR="00782EAA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7,6</w:t>
      </w:r>
      <w:r w:rsidR="009C518E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% в среднем бизнесе.</w:t>
      </w:r>
    </w:p>
    <w:p w:rsidR="00516FB0" w:rsidRPr="00791D4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Оборот организаций малого бизнеса за 202</w:t>
      </w:r>
      <w:r w:rsidR="00782EAA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 </w:t>
      </w:r>
      <w:r w:rsidR="00782EAA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увеличился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 </w:t>
      </w:r>
      <w:r w:rsidR="00782EAA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1,5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="00CB41AF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% и 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составил </w:t>
      </w:r>
      <w:r w:rsidR="00782EAA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5 750 177,8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тыс. рублей.</w:t>
      </w:r>
    </w:p>
    <w:p w:rsidR="00516FB0" w:rsidRPr="00791D4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202</w:t>
      </w:r>
      <w:r w:rsidR="00782EAA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оборот организаций среднего бизнеса </w:t>
      </w:r>
      <w:r w:rsidR="00C24AAC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уменьшился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 </w:t>
      </w:r>
      <w:r w:rsidR="00C24AAC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17,5</w:t>
      </w:r>
      <w:r w:rsidR="00CB41AF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% и 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составил </w:t>
      </w:r>
      <w:r w:rsidR="00C24AAC"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876 744,1</w:t>
      </w:r>
      <w:r w:rsidRPr="00791D4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тыс. рублей.</w:t>
      </w:r>
    </w:p>
    <w:p w:rsidR="00516FB0" w:rsidRPr="00791D40" w:rsidRDefault="00516FB0" w:rsidP="00516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 сектора малого и среднего предпринимательства в общий объем оборота организаций города составляет 1</w:t>
      </w:r>
      <w:r w:rsidR="00C24AAC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(в 202</w:t>
      </w:r>
      <w:r w:rsidR="00C24AAC"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2 году – 15,5</w:t>
      </w: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%).</w:t>
      </w:r>
    </w:p>
    <w:p w:rsidR="00524C31" w:rsidRPr="00791D40" w:rsidRDefault="00524C31" w:rsidP="00524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ситуация характеризуется снижением объема оборота МСП и его доли в общем обороте всех организаций. Наиболее значительные изменения произошли в следующих отраслях: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136"/>
        <w:gridCol w:w="1194"/>
        <w:gridCol w:w="1923"/>
        <w:gridCol w:w="985"/>
      </w:tblGrid>
      <w:tr w:rsidR="00524C31" w:rsidRPr="00791D40" w:rsidTr="00F60A0C">
        <w:trPr>
          <w:trHeight w:val="312"/>
        </w:trPr>
        <w:tc>
          <w:tcPr>
            <w:tcW w:w="2197" w:type="pct"/>
            <w:shd w:val="clear" w:color="auto" w:fill="auto"/>
          </w:tcPr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(млн. рублей)</w:t>
            </w:r>
          </w:p>
        </w:tc>
        <w:tc>
          <w:tcPr>
            <w:tcW w:w="639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2023 год</w:t>
            </w:r>
          </w:p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(млн. рублей)</w:t>
            </w:r>
          </w:p>
        </w:tc>
        <w:tc>
          <w:tcPr>
            <w:tcW w:w="1029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</w:t>
            </w:r>
          </w:p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(млн. рублей)</w:t>
            </w:r>
          </w:p>
        </w:tc>
        <w:tc>
          <w:tcPr>
            <w:tcW w:w="527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</w:t>
            </w:r>
          </w:p>
          <w:p w:rsidR="00524C31" w:rsidRPr="00791D40" w:rsidRDefault="00524C31" w:rsidP="0052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(%)</w:t>
            </w:r>
          </w:p>
        </w:tc>
      </w:tr>
      <w:tr w:rsidR="00524C31" w:rsidRPr="00791D40" w:rsidTr="00F60A0C">
        <w:trPr>
          <w:trHeight w:val="312"/>
        </w:trPr>
        <w:tc>
          <w:tcPr>
            <w:tcW w:w="2197" w:type="pct"/>
            <w:shd w:val="clear" w:color="auto" w:fill="auto"/>
            <w:hideMark/>
          </w:tcPr>
          <w:p w:rsidR="00524C31" w:rsidRPr="00791D40" w:rsidRDefault="00524C31" w:rsidP="0052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1 822,9</w:t>
            </w:r>
          </w:p>
        </w:tc>
        <w:tc>
          <w:tcPr>
            <w:tcW w:w="639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1 365,3</w:t>
            </w:r>
          </w:p>
        </w:tc>
        <w:tc>
          <w:tcPr>
            <w:tcW w:w="1029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-457,65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-25,1%</w:t>
            </w:r>
          </w:p>
        </w:tc>
      </w:tr>
      <w:tr w:rsidR="00524C31" w:rsidRPr="00791D40" w:rsidTr="00F60A0C">
        <w:trPr>
          <w:trHeight w:val="624"/>
        </w:trPr>
        <w:tc>
          <w:tcPr>
            <w:tcW w:w="2197" w:type="pct"/>
            <w:shd w:val="clear" w:color="auto" w:fill="auto"/>
            <w:hideMark/>
          </w:tcPr>
          <w:p w:rsidR="00524C31" w:rsidRPr="00791D40" w:rsidRDefault="00524C31" w:rsidP="0052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1 725,3</w:t>
            </w:r>
          </w:p>
        </w:tc>
        <w:tc>
          <w:tcPr>
            <w:tcW w:w="639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1 568,8</w:t>
            </w:r>
          </w:p>
        </w:tc>
        <w:tc>
          <w:tcPr>
            <w:tcW w:w="1029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-156,47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-9,1%</w:t>
            </w:r>
          </w:p>
        </w:tc>
      </w:tr>
      <w:tr w:rsidR="00524C31" w:rsidRPr="00791D40" w:rsidTr="00F60A0C">
        <w:trPr>
          <w:trHeight w:val="312"/>
        </w:trPr>
        <w:tc>
          <w:tcPr>
            <w:tcW w:w="2197" w:type="pct"/>
            <w:shd w:val="clear" w:color="auto" w:fill="auto"/>
            <w:hideMark/>
          </w:tcPr>
          <w:p w:rsidR="00524C31" w:rsidRPr="00791D40" w:rsidRDefault="00524C31" w:rsidP="0052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Транспортировка и хранение</w:t>
            </w:r>
          </w:p>
        </w:tc>
        <w:tc>
          <w:tcPr>
            <w:tcW w:w="608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367,4</w:t>
            </w:r>
          </w:p>
        </w:tc>
        <w:tc>
          <w:tcPr>
            <w:tcW w:w="639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239,5</w:t>
            </w:r>
          </w:p>
        </w:tc>
        <w:tc>
          <w:tcPr>
            <w:tcW w:w="1029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-127,89</w:t>
            </w:r>
          </w:p>
        </w:tc>
        <w:tc>
          <w:tcPr>
            <w:tcW w:w="527" w:type="pct"/>
            <w:shd w:val="clear" w:color="auto" w:fill="auto"/>
            <w:noWrap/>
            <w:hideMark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-34,8%</w:t>
            </w:r>
          </w:p>
        </w:tc>
      </w:tr>
      <w:tr w:rsidR="00524C31" w:rsidRPr="00791D40" w:rsidTr="00F60A0C">
        <w:trPr>
          <w:trHeight w:val="312"/>
        </w:trPr>
        <w:tc>
          <w:tcPr>
            <w:tcW w:w="2197" w:type="pct"/>
            <w:shd w:val="clear" w:color="auto" w:fill="auto"/>
          </w:tcPr>
          <w:p w:rsidR="00524C31" w:rsidRPr="00791D40" w:rsidRDefault="00524C31" w:rsidP="0052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608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551,7</w:t>
            </w:r>
          </w:p>
        </w:tc>
        <w:tc>
          <w:tcPr>
            <w:tcW w:w="639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654,1</w:t>
            </w:r>
          </w:p>
        </w:tc>
        <w:tc>
          <w:tcPr>
            <w:tcW w:w="1029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102,39</w:t>
            </w:r>
          </w:p>
        </w:tc>
        <w:tc>
          <w:tcPr>
            <w:tcW w:w="527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18,6%</w:t>
            </w:r>
          </w:p>
        </w:tc>
      </w:tr>
      <w:tr w:rsidR="00524C31" w:rsidRPr="00791D40" w:rsidTr="00F60A0C">
        <w:trPr>
          <w:trHeight w:val="312"/>
        </w:trPr>
        <w:tc>
          <w:tcPr>
            <w:tcW w:w="2197" w:type="pct"/>
            <w:shd w:val="clear" w:color="auto" w:fill="auto"/>
          </w:tcPr>
          <w:p w:rsidR="00524C31" w:rsidRPr="00791D40" w:rsidRDefault="00524C31" w:rsidP="00524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Обрабатывающие производства</w:t>
            </w:r>
          </w:p>
        </w:tc>
        <w:tc>
          <w:tcPr>
            <w:tcW w:w="608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711,5</w:t>
            </w:r>
          </w:p>
        </w:tc>
        <w:tc>
          <w:tcPr>
            <w:tcW w:w="639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962,6</w:t>
            </w:r>
          </w:p>
        </w:tc>
        <w:tc>
          <w:tcPr>
            <w:tcW w:w="1029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251,10</w:t>
            </w:r>
          </w:p>
        </w:tc>
        <w:tc>
          <w:tcPr>
            <w:tcW w:w="527" w:type="pct"/>
            <w:shd w:val="clear" w:color="auto" w:fill="auto"/>
            <w:noWrap/>
          </w:tcPr>
          <w:p w:rsidR="00524C31" w:rsidRPr="00791D40" w:rsidRDefault="00524C31" w:rsidP="00524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1D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35,3%</w:t>
            </w:r>
          </w:p>
        </w:tc>
      </w:tr>
    </w:tbl>
    <w:p w:rsidR="00524C31" w:rsidRPr="00791D40" w:rsidRDefault="00524C31" w:rsidP="00524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D40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оборота в сфере строительства в большей мере произошло в связи с сокращением оборота одной из организаций, осуществляющей подрядные работы за территорией города (произошла смена состава учредителей данной организации). Снижение оборота в сфере торговли обусловлено в том числе развитием торговли на маркетплейсах и закрытием стационарных торговых точек. Оборот в сфере транспортировки сократился в большей мере за счет прекращения деятельности одной из организаций среднего предпринимательства. На ряду с этим наблюдается положительная динамика оборота организаций в сферах общественного питания и обрабатывающих производств.</w:t>
      </w:r>
    </w:p>
    <w:sectPr w:rsidR="00524C31" w:rsidRPr="00791D40" w:rsidSect="009C518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67" w:rsidRDefault="009B1267" w:rsidP="00516FB0">
      <w:pPr>
        <w:spacing w:after="0" w:line="240" w:lineRule="auto"/>
      </w:pPr>
      <w:r>
        <w:separator/>
      </w:r>
    </w:p>
  </w:endnote>
  <w:endnote w:type="continuationSeparator" w:id="0">
    <w:p w:rsidR="009B1267" w:rsidRDefault="009B1267" w:rsidP="0051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67" w:rsidRDefault="009B1267" w:rsidP="00516FB0">
      <w:pPr>
        <w:spacing w:after="0" w:line="240" w:lineRule="auto"/>
      </w:pPr>
      <w:r>
        <w:separator/>
      </w:r>
    </w:p>
  </w:footnote>
  <w:footnote w:type="continuationSeparator" w:id="0">
    <w:p w:rsidR="009B1267" w:rsidRDefault="009B1267" w:rsidP="0051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23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518E" w:rsidRPr="009C518E" w:rsidRDefault="009C518E">
        <w:pPr>
          <w:pStyle w:val="a8"/>
          <w:jc w:val="center"/>
          <w:rPr>
            <w:rFonts w:ascii="Times New Roman" w:hAnsi="Times New Roman" w:cs="Times New Roman"/>
          </w:rPr>
        </w:pPr>
        <w:r w:rsidRPr="009C518E">
          <w:rPr>
            <w:rFonts w:ascii="Times New Roman" w:hAnsi="Times New Roman" w:cs="Times New Roman"/>
          </w:rPr>
          <w:fldChar w:fldCharType="begin"/>
        </w:r>
        <w:r w:rsidRPr="009C518E">
          <w:rPr>
            <w:rFonts w:ascii="Times New Roman" w:hAnsi="Times New Roman" w:cs="Times New Roman"/>
          </w:rPr>
          <w:instrText>PAGE   \* MERGEFORMAT</w:instrText>
        </w:r>
        <w:r w:rsidRPr="009C518E">
          <w:rPr>
            <w:rFonts w:ascii="Times New Roman" w:hAnsi="Times New Roman" w:cs="Times New Roman"/>
          </w:rPr>
          <w:fldChar w:fldCharType="separate"/>
        </w:r>
        <w:r w:rsidR="00791D40">
          <w:rPr>
            <w:rFonts w:ascii="Times New Roman" w:hAnsi="Times New Roman" w:cs="Times New Roman"/>
            <w:noProof/>
          </w:rPr>
          <w:t>3</w:t>
        </w:r>
        <w:r w:rsidRPr="009C518E">
          <w:rPr>
            <w:rFonts w:ascii="Times New Roman" w:hAnsi="Times New Roman" w:cs="Times New Roman"/>
          </w:rPr>
          <w:fldChar w:fldCharType="end"/>
        </w:r>
      </w:p>
    </w:sdtContent>
  </w:sdt>
  <w:p w:rsidR="009C518E" w:rsidRDefault="009C51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30CAF"/>
    <w:multiLevelType w:val="hybridMultilevel"/>
    <w:tmpl w:val="928EE3BE"/>
    <w:lvl w:ilvl="0" w:tplc="0419000D">
      <w:start w:val="1"/>
      <w:numFmt w:val="bullet"/>
      <w:lvlText w:val=""/>
      <w:lvlJc w:val="left"/>
      <w:pPr>
        <w:ind w:left="3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4"/>
    <w:rsid w:val="000032AF"/>
    <w:rsid w:val="00010154"/>
    <w:rsid w:val="0003345B"/>
    <w:rsid w:val="0008026D"/>
    <w:rsid w:val="000A28F4"/>
    <w:rsid w:val="000B3949"/>
    <w:rsid w:val="000C217D"/>
    <w:rsid w:val="00184A05"/>
    <w:rsid w:val="001877C8"/>
    <w:rsid w:val="00191766"/>
    <w:rsid w:val="001A6EE0"/>
    <w:rsid w:val="001E06BA"/>
    <w:rsid w:val="002409F5"/>
    <w:rsid w:val="00244089"/>
    <w:rsid w:val="0024666B"/>
    <w:rsid w:val="0026152E"/>
    <w:rsid w:val="002D4572"/>
    <w:rsid w:val="00323AEE"/>
    <w:rsid w:val="003308F1"/>
    <w:rsid w:val="00331D4D"/>
    <w:rsid w:val="0035514F"/>
    <w:rsid w:val="003A1E3E"/>
    <w:rsid w:val="003A7464"/>
    <w:rsid w:val="003C33D1"/>
    <w:rsid w:val="00402918"/>
    <w:rsid w:val="0041183D"/>
    <w:rsid w:val="00412169"/>
    <w:rsid w:val="00474A5F"/>
    <w:rsid w:val="00510567"/>
    <w:rsid w:val="00516FB0"/>
    <w:rsid w:val="00524C31"/>
    <w:rsid w:val="00546BB6"/>
    <w:rsid w:val="00567168"/>
    <w:rsid w:val="00576DF6"/>
    <w:rsid w:val="005A5B17"/>
    <w:rsid w:val="005D038B"/>
    <w:rsid w:val="00621765"/>
    <w:rsid w:val="00627047"/>
    <w:rsid w:val="00685759"/>
    <w:rsid w:val="006B022F"/>
    <w:rsid w:val="00782EAA"/>
    <w:rsid w:val="00791D40"/>
    <w:rsid w:val="007966A3"/>
    <w:rsid w:val="00801F3C"/>
    <w:rsid w:val="00876ED3"/>
    <w:rsid w:val="0089564D"/>
    <w:rsid w:val="00895D44"/>
    <w:rsid w:val="008A5959"/>
    <w:rsid w:val="008A6277"/>
    <w:rsid w:val="008C1A4F"/>
    <w:rsid w:val="00970EAF"/>
    <w:rsid w:val="009879AE"/>
    <w:rsid w:val="009B1267"/>
    <w:rsid w:val="009B2C21"/>
    <w:rsid w:val="009C0E9D"/>
    <w:rsid w:val="009C518E"/>
    <w:rsid w:val="009D17F3"/>
    <w:rsid w:val="00A06211"/>
    <w:rsid w:val="00A435E2"/>
    <w:rsid w:val="00A47A45"/>
    <w:rsid w:val="00A92C9B"/>
    <w:rsid w:val="00AA203B"/>
    <w:rsid w:val="00AE4378"/>
    <w:rsid w:val="00B1337F"/>
    <w:rsid w:val="00B35AEE"/>
    <w:rsid w:val="00B4122D"/>
    <w:rsid w:val="00B62F7E"/>
    <w:rsid w:val="00B671C5"/>
    <w:rsid w:val="00B728AB"/>
    <w:rsid w:val="00B81735"/>
    <w:rsid w:val="00BB636D"/>
    <w:rsid w:val="00BE3502"/>
    <w:rsid w:val="00C001B6"/>
    <w:rsid w:val="00C24AAC"/>
    <w:rsid w:val="00C61327"/>
    <w:rsid w:val="00CB41AF"/>
    <w:rsid w:val="00CB5D92"/>
    <w:rsid w:val="00CF7270"/>
    <w:rsid w:val="00D11CCD"/>
    <w:rsid w:val="00D33DF2"/>
    <w:rsid w:val="00DA6916"/>
    <w:rsid w:val="00DB68E5"/>
    <w:rsid w:val="00DE60BF"/>
    <w:rsid w:val="00E3281C"/>
    <w:rsid w:val="00ED2B8B"/>
    <w:rsid w:val="00ED44E6"/>
    <w:rsid w:val="00EF4974"/>
    <w:rsid w:val="00F26EA2"/>
    <w:rsid w:val="00F30CE2"/>
    <w:rsid w:val="00F4556A"/>
    <w:rsid w:val="00F84EAD"/>
    <w:rsid w:val="00F96EC4"/>
    <w:rsid w:val="00FB489B"/>
    <w:rsid w:val="00FC48A8"/>
    <w:rsid w:val="00FD5E1B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0B062-8B4E-473A-BBC6-EAA48305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83D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unhideWhenUsed/>
    <w:rsid w:val="00516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16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516FB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C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518E"/>
  </w:style>
  <w:style w:type="paragraph" w:styleId="aa">
    <w:name w:val="footer"/>
    <w:basedOn w:val="a"/>
    <w:link w:val="ab"/>
    <w:uiPriority w:val="99"/>
    <w:unhideWhenUsed/>
    <w:rsid w:val="009C5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Мария Ивановна Чумара</cp:lastModifiedBy>
  <cp:revision>9</cp:revision>
  <cp:lastPrinted>2023-05-02T04:17:00Z</cp:lastPrinted>
  <dcterms:created xsi:type="dcterms:W3CDTF">2024-04-26T07:16:00Z</dcterms:created>
  <dcterms:modified xsi:type="dcterms:W3CDTF">2024-06-25T10:05:00Z</dcterms:modified>
</cp:coreProperties>
</file>