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2A5" w:rsidRPr="00F60713" w:rsidRDefault="006B02A5" w:rsidP="006B02A5">
      <w:pPr>
        <w:ind w:firstLine="5670"/>
        <w:rPr>
          <w:sz w:val="28"/>
          <w:szCs w:val="28"/>
        </w:rPr>
      </w:pPr>
      <w:r w:rsidRPr="00F60713">
        <w:rPr>
          <w:sz w:val="28"/>
          <w:szCs w:val="28"/>
        </w:rPr>
        <w:t xml:space="preserve">Приложение  </w:t>
      </w:r>
    </w:p>
    <w:p w:rsidR="006B02A5" w:rsidRPr="00F60713" w:rsidRDefault="006B02A5" w:rsidP="006B02A5">
      <w:pPr>
        <w:ind w:firstLine="5670"/>
        <w:rPr>
          <w:sz w:val="28"/>
          <w:szCs w:val="28"/>
        </w:rPr>
      </w:pPr>
      <w:r w:rsidRPr="00F60713">
        <w:rPr>
          <w:sz w:val="28"/>
          <w:szCs w:val="28"/>
        </w:rPr>
        <w:t>к письму МКУ «КООС»</w:t>
      </w:r>
    </w:p>
    <w:p w:rsidR="006B02A5" w:rsidRPr="00F60713" w:rsidRDefault="00F60713" w:rsidP="006B02A5">
      <w:pPr>
        <w:ind w:firstLine="5670"/>
        <w:rPr>
          <w:sz w:val="28"/>
          <w:szCs w:val="28"/>
        </w:rPr>
      </w:pPr>
      <w:r w:rsidRPr="00F60713">
        <w:rPr>
          <w:sz w:val="28"/>
          <w:szCs w:val="28"/>
        </w:rPr>
        <w:t>от</w:t>
      </w:r>
      <w:r w:rsidRPr="00F60713">
        <w:rPr>
          <w:sz w:val="28"/>
          <w:szCs w:val="28"/>
        </w:rPr>
        <w:t xml:space="preserve"> </w:t>
      </w:r>
      <w:r w:rsidR="006B02A5" w:rsidRPr="00F60713">
        <w:rPr>
          <w:sz w:val="28"/>
          <w:szCs w:val="28"/>
        </w:rPr>
        <w:t>__________</w:t>
      </w:r>
      <w:r w:rsidRPr="00F60713">
        <w:rPr>
          <w:sz w:val="28"/>
          <w:szCs w:val="28"/>
        </w:rPr>
        <w:t xml:space="preserve"> №</w:t>
      </w:r>
      <w:r w:rsidR="006B02A5" w:rsidRPr="00F60713">
        <w:rPr>
          <w:sz w:val="28"/>
          <w:szCs w:val="28"/>
        </w:rPr>
        <w:t>______</w:t>
      </w:r>
    </w:p>
    <w:p w:rsidR="006B02A5" w:rsidRPr="00F60713" w:rsidRDefault="006B02A5" w:rsidP="006B02A5">
      <w:pPr>
        <w:ind w:firstLine="5245"/>
        <w:jc w:val="center"/>
        <w:rPr>
          <w:sz w:val="28"/>
          <w:szCs w:val="28"/>
        </w:rPr>
      </w:pPr>
    </w:p>
    <w:p w:rsidR="006B02A5" w:rsidRPr="00F60713" w:rsidRDefault="006B02A5">
      <w:pPr>
        <w:ind w:firstLine="709"/>
        <w:jc w:val="center"/>
        <w:rPr>
          <w:b/>
          <w:sz w:val="28"/>
          <w:szCs w:val="28"/>
        </w:rPr>
      </w:pPr>
    </w:p>
    <w:p w:rsidR="00E2721C" w:rsidRPr="00F60713" w:rsidRDefault="00AD4B4A">
      <w:pPr>
        <w:ind w:firstLine="709"/>
        <w:jc w:val="center"/>
        <w:rPr>
          <w:sz w:val="28"/>
          <w:szCs w:val="28"/>
        </w:rPr>
      </w:pPr>
      <w:r w:rsidRPr="00F60713">
        <w:rPr>
          <w:b/>
          <w:sz w:val="28"/>
          <w:szCs w:val="28"/>
        </w:rPr>
        <w:t xml:space="preserve">О заседании общественного совета </w:t>
      </w:r>
    </w:p>
    <w:p w:rsidR="00E2721C" w:rsidRPr="00F60713" w:rsidRDefault="00AD4B4A">
      <w:pPr>
        <w:ind w:firstLine="709"/>
        <w:jc w:val="center"/>
        <w:rPr>
          <w:sz w:val="28"/>
          <w:szCs w:val="28"/>
        </w:rPr>
      </w:pPr>
      <w:r w:rsidRPr="00F60713">
        <w:rPr>
          <w:b/>
          <w:sz w:val="28"/>
          <w:szCs w:val="28"/>
        </w:rPr>
        <w:t>по охране окружающей среды в г. Зеленогорске (07.05.2024)</w:t>
      </w:r>
    </w:p>
    <w:p w:rsidR="00E2721C" w:rsidRPr="00F60713" w:rsidRDefault="00E2721C">
      <w:pPr>
        <w:ind w:firstLine="709"/>
        <w:jc w:val="center"/>
        <w:rPr>
          <w:sz w:val="28"/>
          <w:szCs w:val="28"/>
        </w:rPr>
      </w:pPr>
    </w:p>
    <w:p w:rsidR="00E2721C" w:rsidRPr="00F60713" w:rsidRDefault="00AD4B4A">
      <w:pPr>
        <w:ind w:firstLine="709"/>
        <w:jc w:val="both"/>
        <w:rPr>
          <w:color w:val="000000"/>
          <w:sz w:val="28"/>
          <w:szCs w:val="28"/>
        </w:rPr>
      </w:pPr>
      <w:r w:rsidRPr="00F60713">
        <w:rPr>
          <w:sz w:val="28"/>
          <w:szCs w:val="28"/>
        </w:rPr>
        <w:t xml:space="preserve">07.05.2024 в </w:t>
      </w:r>
      <w:proofErr w:type="gramStart"/>
      <w:r w:rsidRPr="00F60713">
        <w:rPr>
          <w:sz w:val="28"/>
          <w:szCs w:val="28"/>
        </w:rPr>
        <w:t>Администрации</w:t>
      </w:r>
      <w:proofErr w:type="gramEnd"/>
      <w:r w:rsidRPr="00F60713">
        <w:rPr>
          <w:sz w:val="28"/>
          <w:szCs w:val="28"/>
        </w:rPr>
        <w:t xml:space="preserve"> ЗАТО г. Зеленогорск состоялось очередное заседание общественного совета по охране окружающей среды (далее – общественный совет)</w:t>
      </w:r>
      <w:r w:rsidRPr="00F60713">
        <w:rPr>
          <w:color w:val="000000"/>
          <w:sz w:val="28"/>
          <w:szCs w:val="28"/>
          <w:shd w:val="clear" w:color="auto" w:fill="FFFFFF"/>
        </w:rPr>
        <w:t xml:space="preserve">, в котором приняли участие представители ООО «Золотой элемент», МУП ТС. В повестку заседания включено 4 вопроса. </w:t>
      </w:r>
    </w:p>
    <w:p w:rsidR="00E2721C" w:rsidRPr="00F60713" w:rsidRDefault="00AD4B4A">
      <w:pPr>
        <w:pStyle w:val="afb"/>
        <w:numPr>
          <w:ilvl w:val="0"/>
          <w:numId w:val="4"/>
        </w:numPr>
        <w:tabs>
          <w:tab w:val="left" w:pos="850"/>
          <w:tab w:val="left" w:pos="992"/>
        </w:tabs>
        <w:spacing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F60713">
        <w:rPr>
          <w:rFonts w:cs="Times New Roman"/>
          <w:color w:val="000000"/>
          <w:sz w:val="28"/>
          <w:szCs w:val="28"/>
          <w:shd w:val="clear" w:color="auto" w:fill="FFFFFF"/>
        </w:rPr>
        <w:t xml:space="preserve">Председатель общественного совета С.В. </w:t>
      </w:r>
      <w:proofErr w:type="spellStart"/>
      <w:r w:rsidRPr="00F60713">
        <w:rPr>
          <w:rFonts w:cs="Times New Roman"/>
          <w:color w:val="000000"/>
          <w:sz w:val="28"/>
          <w:szCs w:val="28"/>
          <w:shd w:val="clear" w:color="auto" w:fill="FFFFFF"/>
        </w:rPr>
        <w:t>Камнев</w:t>
      </w:r>
      <w:proofErr w:type="spellEnd"/>
      <w:r w:rsidRPr="00F60713">
        <w:rPr>
          <w:rFonts w:cs="Times New Roman"/>
          <w:color w:val="000000"/>
          <w:sz w:val="28"/>
          <w:szCs w:val="28"/>
          <w:shd w:val="clear" w:color="auto" w:fill="FFFFFF"/>
        </w:rPr>
        <w:t xml:space="preserve"> сообщил </w:t>
      </w:r>
      <w:r w:rsidRPr="00F60713">
        <w:rPr>
          <w:rFonts w:eastAsiaTheme="majorEastAsia" w:cs="Times New Roman"/>
          <w:sz w:val="28"/>
          <w:szCs w:val="28"/>
          <w:lang w:eastAsia="hi-IN" w:bidi="hi-IN"/>
        </w:rPr>
        <w:t xml:space="preserve">участникам заседания, что в связи с обеспокоенностью граждан о проведении геологоразведки </w:t>
      </w:r>
      <w:r w:rsidRPr="00F60713">
        <w:rPr>
          <w:rStyle w:val="afc"/>
          <w:rFonts w:eastAsiaTheme="majorEastAsia" w:cs="Times New Roman"/>
          <w:b w:val="0"/>
          <w:color w:val="111111"/>
          <w:sz w:val="28"/>
          <w:szCs w:val="28"/>
        </w:rPr>
        <w:t>вблизи ТСН СНТ № 3 «Сокаревка» в план работы совета включено рассмотрение вопроса о проведении геолого-разведывательных работ на участке недр Сокаревка</w:t>
      </w:r>
      <w:r w:rsidRPr="00F60713">
        <w:rPr>
          <w:rFonts w:eastAsiaTheme="majorEastAsia" w:cs="Times New Roman"/>
          <w:sz w:val="28"/>
          <w:szCs w:val="28"/>
        </w:rPr>
        <w:t>. Представил генерального директор</w:t>
      </w:r>
      <w:proofErr w:type="gramStart"/>
      <w:r w:rsidRPr="00F60713">
        <w:rPr>
          <w:rFonts w:eastAsiaTheme="majorEastAsia" w:cs="Times New Roman"/>
          <w:sz w:val="28"/>
          <w:szCs w:val="28"/>
        </w:rPr>
        <w:t>а ООО</w:t>
      </w:r>
      <w:proofErr w:type="gramEnd"/>
      <w:r w:rsidRPr="00F60713">
        <w:rPr>
          <w:rFonts w:eastAsiaTheme="majorEastAsia" w:cs="Times New Roman"/>
          <w:sz w:val="28"/>
          <w:szCs w:val="28"/>
        </w:rPr>
        <w:t xml:space="preserve"> «Золотой элемент» Лоншакова А.Ю. </w:t>
      </w:r>
    </w:p>
    <w:p w:rsidR="00E2721C" w:rsidRPr="00F60713" w:rsidRDefault="00AD4B4A">
      <w:pPr>
        <w:tabs>
          <w:tab w:val="left" w:pos="850"/>
          <w:tab w:val="left" w:pos="992"/>
        </w:tabs>
        <w:ind w:firstLine="709"/>
        <w:jc w:val="both"/>
        <w:rPr>
          <w:sz w:val="28"/>
          <w:szCs w:val="28"/>
        </w:rPr>
      </w:pPr>
      <w:r w:rsidRPr="00F60713">
        <w:rPr>
          <w:rFonts w:eastAsiaTheme="majorEastAsia"/>
          <w:sz w:val="28"/>
          <w:szCs w:val="28"/>
        </w:rPr>
        <w:t>Лоншаков А.Ю. сообщил, что о</w:t>
      </w:r>
      <w:r w:rsidRPr="00F60713">
        <w:rPr>
          <w:rFonts w:eastAsiaTheme="majorEastAsia"/>
          <w:sz w:val="28"/>
          <w:szCs w:val="28"/>
          <w:shd w:val="clear" w:color="auto" w:fill="FFFFFF"/>
        </w:rPr>
        <w:t xml:space="preserve">рганизация является </w:t>
      </w:r>
      <w:proofErr w:type="spellStart"/>
      <w:r w:rsidRPr="00F60713">
        <w:rPr>
          <w:rFonts w:eastAsiaTheme="majorEastAsia"/>
          <w:sz w:val="28"/>
          <w:szCs w:val="28"/>
          <w:shd w:val="clear" w:color="auto" w:fill="FFFFFF"/>
        </w:rPr>
        <w:t>недропользователем</w:t>
      </w:r>
      <w:proofErr w:type="spellEnd"/>
      <w:r w:rsidRPr="00F60713">
        <w:rPr>
          <w:rFonts w:eastAsiaTheme="majorEastAsia"/>
          <w:sz w:val="28"/>
          <w:szCs w:val="28"/>
          <w:shd w:val="clear" w:color="auto" w:fill="FFFFFF"/>
        </w:rPr>
        <w:t xml:space="preserve"> с правом </w:t>
      </w:r>
      <w:r w:rsidRPr="00F60713">
        <w:rPr>
          <w:rFonts w:eastAsiaTheme="majorEastAsia"/>
          <w:color w:val="000000"/>
          <w:sz w:val="28"/>
          <w:szCs w:val="28"/>
        </w:rPr>
        <w:t>проведения геологического изучения, включая поиски и оценку месторождений полезных ископаемых (россыпного золота) на участке недр «Сокаревка»</w:t>
      </w:r>
      <w:r w:rsidRPr="00F60713">
        <w:rPr>
          <w:rFonts w:eastAsiaTheme="majorEastAsia"/>
          <w:sz w:val="28"/>
          <w:szCs w:val="28"/>
          <w:shd w:val="clear" w:color="auto" w:fill="FFFFFF"/>
        </w:rPr>
        <w:t xml:space="preserve">. Лицензия на проведение работ выдана 15.06.2022 </w:t>
      </w:r>
      <w:r w:rsidRPr="00F60713">
        <w:rPr>
          <w:rFonts w:eastAsiaTheme="majorEastAsia"/>
          <w:color w:val="000000"/>
          <w:sz w:val="28"/>
          <w:szCs w:val="28"/>
        </w:rPr>
        <w:t>Департаментом по недропользованию по Центрально-Сибирскому округу</w:t>
      </w:r>
      <w:r w:rsidRPr="00F60713">
        <w:rPr>
          <w:rFonts w:eastAsiaTheme="majorEastAsia"/>
          <w:sz w:val="28"/>
          <w:szCs w:val="28"/>
          <w:shd w:val="clear" w:color="auto" w:fill="FFFFFF"/>
        </w:rPr>
        <w:t xml:space="preserve"> на 7 лет. Проект проведения работ предусматривает поисковую и оценочную стадии. </w:t>
      </w:r>
    </w:p>
    <w:p w:rsidR="00E2721C" w:rsidRPr="00F60713" w:rsidRDefault="00AD4B4A">
      <w:pPr>
        <w:ind w:firstLine="709"/>
        <w:jc w:val="both"/>
        <w:rPr>
          <w:sz w:val="28"/>
          <w:szCs w:val="28"/>
        </w:rPr>
      </w:pPr>
      <w:r w:rsidRPr="00F60713">
        <w:rPr>
          <w:rFonts w:eastAsiaTheme="majorEastAsia"/>
          <w:sz w:val="28"/>
          <w:szCs w:val="28"/>
          <w:shd w:val="clear" w:color="auto" w:fill="FFFFFF"/>
        </w:rPr>
        <w:t>Рассказал, что поисковая стадия, к которой ООО «Золотой элемент» приступило в 2023, подразумевает проведение буровых работ по извлечению к</w:t>
      </w:r>
      <w:r w:rsidRPr="00F60713">
        <w:rPr>
          <w:rFonts w:eastAsiaTheme="majorEastAsia"/>
          <w:color w:val="000000" w:themeColor="text1"/>
          <w:sz w:val="28"/>
          <w:szCs w:val="28"/>
          <w:shd w:val="clear" w:color="auto" w:fill="FFFFFF"/>
        </w:rPr>
        <w:t>ерна</w:t>
      </w:r>
      <w:r w:rsidRPr="00F60713">
        <w:rPr>
          <w:rFonts w:eastAsiaTheme="majorEastAsia"/>
          <w:color w:val="000000" w:themeColor="text1"/>
          <w:sz w:val="28"/>
          <w:szCs w:val="28"/>
        </w:rPr>
        <w:t xml:space="preserve"> - образца пластовой породы для получения информации о свойствах залежей полезных ископаемых</w:t>
      </w:r>
      <w:r w:rsidRPr="00F60713">
        <w:rPr>
          <w:rFonts w:eastAsiaTheme="majorEastAsia"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F60713">
        <w:rPr>
          <w:rFonts w:eastAsiaTheme="majorEastAsia"/>
          <w:sz w:val="28"/>
          <w:szCs w:val="28"/>
          <w:shd w:val="clear" w:color="auto" w:fill="FFFFFF"/>
        </w:rPr>
        <w:t>Пояснил, что после анализа образцов станет понятна перспектива дальнейшего использования участка. В зависимости от содержания металла можно будет сделать выводы о том, представляет ли данный участок недр экономический интерес, возможно ли считать его месторождением, будет ли он в дальнейшем предоставлен в отработк</w:t>
      </w:r>
      <w:proofErr w:type="gramStart"/>
      <w:r w:rsidRPr="00F60713">
        <w:rPr>
          <w:rFonts w:eastAsiaTheme="majorEastAsia"/>
          <w:sz w:val="28"/>
          <w:szCs w:val="28"/>
          <w:shd w:val="clear" w:color="auto" w:fill="FFFFFF"/>
        </w:rPr>
        <w:t>у ООО</w:t>
      </w:r>
      <w:proofErr w:type="gramEnd"/>
      <w:r w:rsidRPr="00F60713">
        <w:rPr>
          <w:rFonts w:eastAsiaTheme="majorEastAsia"/>
          <w:sz w:val="28"/>
          <w:szCs w:val="28"/>
          <w:shd w:val="clear" w:color="auto" w:fill="FFFFFF"/>
        </w:rPr>
        <w:t xml:space="preserve"> «Золотой элемент» или другой организации.</w:t>
      </w:r>
    </w:p>
    <w:p w:rsidR="00E2721C" w:rsidRPr="00F60713" w:rsidRDefault="00AD4B4A">
      <w:pPr>
        <w:ind w:firstLine="709"/>
        <w:jc w:val="both"/>
        <w:rPr>
          <w:color w:val="000000"/>
          <w:sz w:val="28"/>
          <w:szCs w:val="28"/>
          <w:highlight w:val="yellow"/>
        </w:rPr>
      </w:pPr>
      <w:r w:rsidRPr="00F60713">
        <w:rPr>
          <w:rFonts w:eastAsiaTheme="majorEastAsia"/>
          <w:sz w:val="28"/>
          <w:szCs w:val="28"/>
          <w:shd w:val="clear" w:color="auto" w:fill="FFFFFF"/>
        </w:rPr>
        <w:t>Пояснил, что в</w:t>
      </w:r>
      <w:r w:rsidRPr="00F60713">
        <w:rPr>
          <w:rFonts w:eastAsiaTheme="majorEastAsia"/>
          <w:color w:val="000000" w:themeColor="text1"/>
          <w:sz w:val="28"/>
          <w:szCs w:val="28"/>
          <w:shd w:val="clear" w:color="auto" w:fill="FFFFFF"/>
        </w:rPr>
        <w:t xml:space="preserve"> ходе работ производится картирование, фиксация каждой скважины и буровой линии. Итогом проведенных работ будут </w:t>
      </w:r>
      <w:r w:rsidRPr="00F60713">
        <w:rPr>
          <w:rFonts w:eastAsiaTheme="majorEastAsia"/>
          <w:color w:val="000000" w:themeColor="text1"/>
          <w:sz w:val="28"/>
          <w:szCs w:val="28"/>
          <w:highlight w:val="white"/>
          <w:shd w:val="clear" w:color="auto" w:fill="FFFFFF"/>
        </w:rPr>
        <w:t>являться материалы по технико-экономическому обоснованию кондиций и подсчету запасов полезных ископаемых. Данные проведенных исследований ООО «Золотой элемент» представит в территориальную комиссию по запасам полезных ископаемых</w:t>
      </w:r>
      <w:r w:rsidRPr="00F60713">
        <w:rPr>
          <w:rFonts w:eastAsiaTheme="majorEastAsia"/>
          <w:color w:val="000000" w:themeColor="text1"/>
          <w:spacing w:val="1"/>
          <w:sz w:val="28"/>
          <w:szCs w:val="28"/>
          <w:highlight w:val="white"/>
        </w:rPr>
        <w:t>.</w:t>
      </w:r>
    </w:p>
    <w:p w:rsidR="00E2721C" w:rsidRPr="00F60713" w:rsidRDefault="00AD4B4A">
      <w:pPr>
        <w:ind w:firstLine="709"/>
        <w:jc w:val="both"/>
        <w:rPr>
          <w:sz w:val="28"/>
          <w:szCs w:val="28"/>
        </w:rPr>
      </w:pPr>
      <w:r w:rsidRPr="00F60713">
        <w:rPr>
          <w:rFonts w:eastAsiaTheme="majorEastAsia"/>
          <w:sz w:val="28"/>
          <w:szCs w:val="28"/>
        </w:rPr>
        <w:t>2. Главный инженер МУП ТС Филонов С.П. представил доклад о состоянии городских очистных сооружений, планируемых работах по их модернизации, реконструкции и внедрению новых технологий.</w:t>
      </w:r>
    </w:p>
    <w:p w:rsidR="00E2721C" w:rsidRPr="00F60713" w:rsidRDefault="00AD4B4A">
      <w:pPr>
        <w:ind w:firstLine="709"/>
        <w:jc w:val="both"/>
        <w:rPr>
          <w:sz w:val="28"/>
          <w:szCs w:val="28"/>
        </w:rPr>
      </w:pPr>
      <w:r w:rsidRPr="00F60713">
        <w:rPr>
          <w:rFonts w:eastAsiaTheme="majorEastAsia"/>
          <w:sz w:val="28"/>
          <w:szCs w:val="28"/>
        </w:rPr>
        <w:t>Рассказал, что городские очистные сооружения проектной производительностью 47000 м</w:t>
      </w:r>
      <w:r w:rsidRPr="00F60713">
        <w:rPr>
          <w:rFonts w:eastAsiaTheme="majorEastAsia"/>
          <w:sz w:val="28"/>
          <w:szCs w:val="28"/>
          <w:vertAlign w:val="superscript"/>
        </w:rPr>
        <w:t>3</w:t>
      </w:r>
      <w:r w:rsidRPr="00F60713">
        <w:rPr>
          <w:rFonts w:eastAsiaTheme="majorEastAsia"/>
          <w:sz w:val="28"/>
          <w:szCs w:val="28"/>
        </w:rPr>
        <w:t>/</w:t>
      </w:r>
      <w:proofErr w:type="spellStart"/>
      <w:r w:rsidRPr="00F60713">
        <w:rPr>
          <w:rFonts w:eastAsiaTheme="majorEastAsia"/>
          <w:sz w:val="28"/>
          <w:szCs w:val="28"/>
        </w:rPr>
        <w:t>сут</w:t>
      </w:r>
      <w:proofErr w:type="spellEnd"/>
      <w:r w:rsidRPr="00F60713">
        <w:rPr>
          <w:rFonts w:eastAsiaTheme="majorEastAsia"/>
          <w:sz w:val="28"/>
          <w:szCs w:val="28"/>
        </w:rPr>
        <w:t xml:space="preserve">. имеют две очереди, введенные в эксплуатацию в 1962 и 1979 годах соответственно. Привел основные </w:t>
      </w:r>
      <w:r w:rsidRPr="00F60713">
        <w:rPr>
          <w:rFonts w:eastAsiaTheme="majorEastAsia"/>
          <w:sz w:val="28"/>
          <w:szCs w:val="28"/>
        </w:rPr>
        <w:lastRenderedPageBreak/>
        <w:t xml:space="preserve">технические характеристики очистных сооружений по проекту 1974 года. </w:t>
      </w:r>
      <w:r w:rsidRPr="00F60713">
        <w:rPr>
          <w:rFonts w:eastAsiaTheme="majorEastAsia"/>
          <w:iCs/>
          <w:sz w:val="28"/>
          <w:szCs w:val="28"/>
        </w:rPr>
        <w:t xml:space="preserve">Сообщил, что принятая на очистных сооружениях технология очистки сточных вод традиционная (на базе одностадийной биологической очистки). В настоящее время данная технология является устаревшей, характеризуется нестабильностью и низкой эффективностью процессов механической и биологической очистки. </w:t>
      </w:r>
    </w:p>
    <w:p w:rsidR="00E2721C" w:rsidRPr="00F60713" w:rsidRDefault="00AD4B4A">
      <w:pPr>
        <w:widowControl w:val="0"/>
        <w:shd w:val="clear" w:color="auto" w:fill="FFFFFF"/>
        <w:ind w:firstLine="708"/>
        <w:jc w:val="both"/>
        <w:rPr>
          <w:sz w:val="28"/>
          <w:szCs w:val="28"/>
        </w:rPr>
      </w:pPr>
      <w:r w:rsidRPr="00F60713">
        <w:rPr>
          <w:rFonts w:eastAsiaTheme="majorEastAsia"/>
          <w:sz w:val="28"/>
          <w:szCs w:val="28"/>
        </w:rPr>
        <w:t>Перечислил требования, предъявляемые к сточным водам, поступающим на очистные сооружения</w:t>
      </w:r>
      <w:r w:rsidRPr="00F60713">
        <w:rPr>
          <w:rFonts w:eastAsiaTheme="minorHAnsi"/>
          <w:iCs/>
          <w:color w:val="000000" w:themeColor="text1"/>
          <w:sz w:val="28"/>
          <w:szCs w:val="28"/>
        </w:rPr>
        <w:t xml:space="preserve">. </w:t>
      </w:r>
      <w:r w:rsidRPr="00F60713">
        <w:rPr>
          <w:rFonts w:eastAsiaTheme="majorEastAsia"/>
          <w:iCs/>
          <w:sz w:val="28"/>
          <w:szCs w:val="28"/>
        </w:rPr>
        <w:t xml:space="preserve">Сообщил, что режим поступления сточных вод на очистные сооружения ‒ неравномерный и непостоянный, что приводит к сбою процесса и длительному периоду восстановления. Отметил, что при  существующих условиях и нарушениях режима приема сточных вод очистными сооружениями достигается максимально возможная эффективность очистки сточных вод. Содержание органических веществ соответствует проектным данным и нормативам допустимых сбросов, установленных в 1974 году, но не соответствует современным требованиям безопасного сброса в водоем. Сточные воды, прошедшие через городские очистные сооружения, относятся к категории </w:t>
      </w:r>
      <w:proofErr w:type="gramStart"/>
      <w:r w:rsidRPr="00F60713">
        <w:rPr>
          <w:rFonts w:eastAsiaTheme="majorEastAsia"/>
          <w:iCs/>
          <w:sz w:val="28"/>
          <w:szCs w:val="28"/>
        </w:rPr>
        <w:t>неочищенных</w:t>
      </w:r>
      <w:proofErr w:type="gramEnd"/>
      <w:r w:rsidRPr="00F60713">
        <w:rPr>
          <w:rFonts w:eastAsiaTheme="majorEastAsia"/>
          <w:iCs/>
          <w:sz w:val="28"/>
          <w:szCs w:val="28"/>
        </w:rPr>
        <w:t>.</w:t>
      </w:r>
      <w:r w:rsidRPr="00F60713">
        <w:rPr>
          <w:rFonts w:eastAsiaTheme="majorEastAsia"/>
          <w:sz w:val="28"/>
          <w:szCs w:val="28"/>
        </w:rPr>
        <w:t xml:space="preserve"> В настоящее время не соответствуют </w:t>
      </w:r>
      <w:proofErr w:type="gramStart"/>
      <w:r w:rsidRPr="00F60713">
        <w:rPr>
          <w:rFonts w:eastAsiaTheme="majorEastAsia"/>
          <w:sz w:val="28"/>
          <w:szCs w:val="28"/>
        </w:rPr>
        <w:t>нормативным</w:t>
      </w:r>
      <w:proofErr w:type="gramEnd"/>
      <w:r w:rsidRPr="00F60713">
        <w:rPr>
          <w:rFonts w:eastAsiaTheme="majorEastAsia"/>
          <w:sz w:val="28"/>
          <w:szCs w:val="28"/>
        </w:rPr>
        <w:t xml:space="preserve"> следующие показатели: взвешенные вещества, БПК</w:t>
      </w:r>
      <w:r w:rsidRPr="00F60713">
        <w:rPr>
          <w:rFonts w:eastAsiaTheme="majorEastAsia"/>
          <w:sz w:val="28"/>
          <w:szCs w:val="28"/>
          <w:vertAlign w:val="subscript"/>
        </w:rPr>
        <w:t>5</w:t>
      </w:r>
      <w:r w:rsidRPr="00F60713">
        <w:rPr>
          <w:rFonts w:eastAsiaTheme="majorEastAsia"/>
          <w:sz w:val="28"/>
          <w:szCs w:val="28"/>
        </w:rPr>
        <w:t>, нитриты, фосфаты.</w:t>
      </w:r>
    </w:p>
    <w:p w:rsidR="00E2721C" w:rsidRPr="00F60713" w:rsidRDefault="00AD4B4A">
      <w:pPr>
        <w:ind w:firstLine="708"/>
        <w:jc w:val="both"/>
        <w:rPr>
          <w:sz w:val="28"/>
          <w:szCs w:val="28"/>
        </w:rPr>
      </w:pPr>
      <w:r w:rsidRPr="00F60713">
        <w:rPr>
          <w:rFonts w:eastAsiaTheme="majorEastAsia"/>
          <w:iCs/>
          <w:sz w:val="28"/>
          <w:szCs w:val="28"/>
        </w:rPr>
        <w:t xml:space="preserve">Сообщил, что по результатам проведенного в 2023 году обследования определен ряд мероприятий для улучшения эффективности работы очистных сооружений: запуск цеха и освоение механического обезвоживания осадка с системой очистки фильтрата; модернизация существующих </w:t>
      </w:r>
      <w:proofErr w:type="spellStart"/>
      <w:r w:rsidRPr="00F60713">
        <w:rPr>
          <w:rFonts w:eastAsiaTheme="majorEastAsia"/>
          <w:iCs/>
          <w:sz w:val="28"/>
          <w:szCs w:val="28"/>
        </w:rPr>
        <w:t>аэротенков</w:t>
      </w:r>
      <w:proofErr w:type="spellEnd"/>
      <w:r w:rsidRPr="00F60713">
        <w:rPr>
          <w:rFonts w:eastAsiaTheme="majorEastAsia"/>
          <w:iCs/>
          <w:sz w:val="28"/>
          <w:szCs w:val="28"/>
        </w:rPr>
        <w:t xml:space="preserve"> с целью </w:t>
      </w:r>
      <w:r w:rsidRPr="00F60713">
        <w:rPr>
          <w:rFonts w:eastAsiaTheme="majorEastAsia"/>
          <w:sz w:val="28"/>
          <w:szCs w:val="28"/>
        </w:rPr>
        <w:t xml:space="preserve">полной биологической очистки с </w:t>
      </w:r>
      <w:proofErr w:type="spellStart"/>
      <w:r w:rsidRPr="00F60713">
        <w:rPr>
          <w:rFonts w:eastAsiaTheme="majorEastAsia"/>
          <w:sz w:val="28"/>
          <w:szCs w:val="28"/>
        </w:rPr>
        <w:t>нитр</w:t>
      </w:r>
      <w:proofErr w:type="gramStart"/>
      <w:r w:rsidRPr="00F60713">
        <w:rPr>
          <w:rFonts w:eastAsiaTheme="majorEastAsia"/>
          <w:sz w:val="28"/>
          <w:szCs w:val="28"/>
        </w:rPr>
        <w:t>и</w:t>
      </w:r>
      <w:proofErr w:type="spellEnd"/>
      <w:r w:rsidRPr="00F60713">
        <w:rPr>
          <w:rFonts w:eastAsiaTheme="majorEastAsia"/>
          <w:sz w:val="28"/>
          <w:szCs w:val="28"/>
        </w:rPr>
        <w:t>-</w:t>
      </w:r>
      <w:proofErr w:type="gramEnd"/>
      <w:r w:rsidRPr="00F60713">
        <w:rPr>
          <w:rFonts w:eastAsiaTheme="majorEastAsia"/>
          <w:sz w:val="28"/>
          <w:szCs w:val="28"/>
        </w:rPr>
        <w:t xml:space="preserve">, денитрификацией, </w:t>
      </w:r>
      <w:proofErr w:type="spellStart"/>
      <w:r w:rsidRPr="00F60713">
        <w:rPr>
          <w:rFonts w:eastAsiaTheme="majorEastAsia"/>
          <w:sz w:val="28"/>
          <w:szCs w:val="28"/>
        </w:rPr>
        <w:t>дефосфотацией</w:t>
      </w:r>
      <w:proofErr w:type="spellEnd"/>
      <w:r w:rsidRPr="00F60713">
        <w:rPr>
          <w:rFonts w:eastAsiaTheme="majorEastAsia"/>
          <w:sz w:val="28"/>
          <w:szCs w:val="28"/>
        </w:rPr>
        <w:t xml:space="preserve"> и </w:t>
      </w:r>
      <w:proofErr w:type="spellStart"/>
      <w:r w:rsidRPr="00F60713">
        <w:rPr>
          <w:rFonts w:eastAsiaTheme="majorEastAsia"/>
          <w:sz w:val="28"/>
          <w:szCs w:val="28"/>
        </w:rPr>
        <w:t>ацидофикацией</w:t>
      </w:r>
      <w:proofErr w:type="spellEnd"/>
      <w:r w:rsidRPr="00F60713">
        <w:rPr>
          <w:rFonts w:eastAsiaTheme="majorEastAsia"/>
          <w:iCs/>
          <w:sz w:val="28"/>
          <w:szCs w:val="28"/>
        </w:rPr>
        <w:t xml:space="preserve"> для повышения эффективности экологической очистки сточных вод и обеспечения требований безопасного сброса в водоем; разработка проекта по реконструкции очистных сооружений. </w:t>
      </w:r>
    </w:p>
    <w:p w:rsidR="00E2721C" w:rsidRPr="00F60713" w:rsidRDefault="00AD4B4A">
      <w:pPr>
        <w:ind w:firstLine="708"/>
        <w:jc w:val="both"/>
        <w:rPr>
          <w:sz w:val="28"/>
          <w:szCs w:val="28"/>
        </w:rPr>
      </w:pPr>
      <w:r w:rsidRPr="00F60713">
        <w:rPr>
          <w:rFonts w:eastAsiaTheme="majorEastAsia"/>
          <w:iCs/>
          <w:sz w:val="28"/>
          <w:szCs w:val="28"/>
        </w:rPr>
        <w:t xml:space="preserve">Сформулировал вывод о том, что реализация проекта по реконструкции очистных сооружений обеспечит их соответствие экологическим требованиям по использованию площадей, образованию и обработке отходов, качеству очищенных сточных вод. Подчеркнул, что проект по реконструкции очистных сооружений является составной частью комплексного экологического разрешения (далее - КЭР). </w:t>
      </w:r>
      <w:r w:rsidRPr="00F60713">
        <w:rPr>
          <w:rFonts w:eastAsiaTheme="majorEastAsia"/>
          <w:sz w:val="28"/>
          <w:szCs w:val="28"/>
        </w:rPr>
        <w:t xml:space="preserve">Отметил, что при отсутствии КЭР, плата за негативное воздействие рассчитывается с применением повышающих коэффициентов. </w:t>
      </w:r>
    </w:p>
    <w:p w:rsidR="00E2721C" w:rsidRPr="00F60713" w:rsidRDefault="00AD4B4A">
      <w:pPr>
        <w:ind w:firstLine="708"/>
        <w:jc w:val="both"/>
        <w:rPr>
          <w:sz w:val="28"/>
          <w:szCs w:val="28"/>
        </w:rPr>
      </w:pPr>
      <w:r w:rsidRPr="00F60713">
        <w:rPr>
          <w:rFonts w:eastAsiaTheme="majorEastAsia"/>
          <w:sz w:val="28"/>
          <w:szCs w:val="28"/>
        </w:rPr>
        <w:t xml:space="preserve">Сообщил, что в 2024 году за счет средств МУП ТС заключен договор на разработку КЭР. Следующими этапами являются </w:t>
      </w:r>
      <w:r w:rsidRPr="00F60713">
        <w:rPr>
          <w:rFonts w:eastAsiaTheme="majorEastAsia"/>
          <w:iCs/>
          <w:sz w:val="28"/>
          <w:szCs w:val="28"/>
        </w:rPr>
        <w:t xml:space="preserve">разработка проектно-сметной документации на строительство реконструкцию и модернизацию очистных сооружений, затем выполнение работ в соответствии с проектной документацией, но в настоящее время источник финансирования этих этапов не определен. Выразил мнение, что одним из вариантов выхода из создавшейся ситуации является заключение концессионного соглашения. </w:t>
      </w:r>
    </w:p>
    <w:p w:rsidR="00E2721C" w:rsidRPr="00F60713" w:rsidRDefault="00AD4B4A">
      <w:pPr>
        <w:ind w:right="1" w:firstLine="708"/>
        <w:jc w:val="both"/>
        <w:rPr>
          <w:sz w:val="28"/>
          <w:szCs w:val="28"/>
        </w:rPr>
      </w:pPr>
      <w:r w:rsidRPr="00F60713">
        <w:rPr>
          <w:rFonts w:eastAsiaTheme="majorEastAsia"/>
          <w:sz w:val="28"/>
          <w:szCs w:val="28"/>
        </w:rPr>
        <w:t xml:space="preserve">В ходе обсуждения общественным советом рекомендовано МУП ТС подготовить и направить в </w:t>
      </w:r>
      <w:proofErr w:type="gramStart"/>
      <w:r w:rsidRPr="00F60713">
        <w:rPr>
          <w:rFonts w:eastAsiaTheme="majorEastAsia"/>
          <w:sz w:val="28"/>
          <w:szCs w:val="28"/>
        </w:rPr>
        <w:t>Администрацию</w:t>
      </w:r>
      <w:proofErr w:type="gramEnd"/>
      <w:r w:rsidRPr="00F60713">
        <w:rPr>
          <w:rFonts w:eastAsiaTheme="majorEastAsia"/>
          <w:sz w:val="28"/>
          <w:szCs w:val="28"/>
        </w:rPr>
        <w:t xml:space="preserve"> ЗАТО г. Зеленогорск предложения об источниках финансирования мероприятий по разработке </w:t>
      </w:r>
      <w:r w:rsidRPr="00F60713">
        <w:rPr>
          <w:rFonts w:eastAsiaTheme="majorEastAsia"/>
          <w:sz w:val="28"/>
          <w:szCs w:val="28"/>
        </w:rPr>
        <w:lastRenderedPageBreak/>
        <w:t>проектно-сметной документации, а также по строительству, реконструкции и модернизации городских очистных сооружений.</w:t>
      </w:r>
    </w:p>
    <w:p w:rsidR="00E2721C" w:rsidRPr="00F60713" w:rsidRDefault="00AD4B4A">
      <w:pPr>
        <w:pStyle w:val="afd"/>
        <w:widowControl w:val="0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0713">
        <w:rPr>
          <w:rFonts w:eastAsiaTheme="majorEastAsia"/>
          <w:sz w:val="28"/>
          <w:szCs w:val="28"/>
          <w:lang w:eastAsia="hi-IN" w:bidi="hi-IN"/>
        </w:rPr>
        <w:t xml:space="preserve">3. </w:t>
      </w:r>
      <w:r w:rsidRPr="00F60713">
        <w:rPr>
          <w:rFonts w:eastAsiaTheme="majorEastAsia"/>
          <w:sz w:val="28"/>
          <w:szCs w:val="28"/>
        </w:rPr>
        <w:t xml:space="preserve">Директор МКУ «КООС» </w:t>
      </w:r>
      <w:r w:rsidRPr="00F60713">
        <w:rPr>
          <w:rFonts w:eastAsiaTheme="majorEastAsia"/>
          <w:sz w:val="28"/>
          <w:szCs w:val="28"/>
          <w:lang w:eastAsia="hi-IN" w:bidi="hi-IN"/>
        </w:rPr>
        <w:t xml:space="preserve">Трифонова Е.Н. представила </w:t>
      </w:r>
      <w:r w:rsidRPr="00F60713">
        <w:rPr>
          <w:rFonts w:eastAsiaTheme="majorEastAsia"/>
          <w:sz w:val="28"/>
          <w:szCs w:val="28"/>
        </w:rPr>
        <w:t xml:space="preserve">отчет о состоянии окружающей среды на территории города Зеленогорска за 2023 год. </w:t>
      </w:r>
    </w:p>
    <w:p w:rsidR="00E2721C" w:rsidRPr="00F60713" w:rsidRDefault="00AD4B4A">
      <w:pPr>
        <w:pStyle w:val="afd"/>
        <w:widowControl w:val="0"/>
        <w:shd w:val="clear" w:color="auto" w:fill="FFFFFF"/>
        <w:tabs>
          <w:tab w:val="left" w:pos="28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0713">
        <w:rPr>
          <w:rFonts w:eastAsiaTheme="majorEastAsia"/>
          <w:color w:val="000000"/>
          <w:sz w:val="28"/>
          <w:szCs w:val="28"/>
        </w:rPr>
        <w:t>Рассказала об итогах</w:t>
      </w:r>
      <w:r w:rsidRPr="00F60713">
        <w:rPr>
          <w:rFonts w:eastAsiaTheme="majorEastAsia"/>
          <w:sz w:val="28"/>
          <w:szCs w:val="28"/>
        </w:rPr>
        <w:t xml:space="preserve"> государственного мониторинга окружающей среды. Сообщила, что по результатам наблюдений за состоянием атмосферного воздуха, осуществляемых КГБУ «Центр реализации мероприятий по природопользованию и охране окружающей среды Красноярского края» посредством автоматизированного поста наблюдения, уровень загрязнения атмосферы города в 2023 году характеризовался как «Низкий». Проинформировала об удовлетворительных результатах контроля качества атмосферного воздуха жилых территорий, проводимого ФГБУЗ </w:t>
      </w:r>
      <w:proofErr w:type="spellStart"/>
      <w:r w:rsidRPr="00F60713">
        <w:rPr>
          <w:rFonts w:eastAsiaTheme="majorEastAsia"/>
          <w:sz w:val="28"/>
          <w:szCs w:val="28"/>
        </w:rPr>
        <w:t>ЦГиЭ</w:t>
      </w:r>
      <w:proofErr w:type="spellEnd"/>
      <w:r w:rsidRPr="00F60713">
        <w:rPr>
          <w:rFonts w:eastAsiaTheme="majorEastAsia"/>
          <w:sz w:val="28"/>
          <w:szCs w:val="28"/>
        </w:rPr>
        <w:t xml:space="preserve"> № 42 ФМБА России в рамках социально-гигиенического мониторинга.</w:t>
      </w:r>
    </w:p>
    <w:p w:rsidR="00E2721C" w:rsidRPr="00F60713" w:rsidRDefault="00AD4B4A">
      <w:pPr>
        <w:ind w:firstLine="709"/>
        <w:jc w:val="both"/>
        <w:rPr>
          <w:rFonts w:eastAsia="Arial"/>
          <w:sz w:val="28"/>
          <w:szCs w:val="28"/>
        </w:rPr>
      </w:pPr>
      <w:r w:rsidRPr="00F60713">
        <w:rPr>
          <w:rFonts w:eastAsiaTheme="majorEastAsia"/>
          <w:sz w:val="28"/>
          <w:szCs w:val="28"/>
        </w:rPr>
        <w:t>Сообщила о наблюдениях в рамках государственного мониторинга поверхностных вод (р. Кан),</w:t>
      </w:r>
      <w:r w:rsidRPr="00F60713">
        <w:rPr>
          <w:rFonts w:eastAsiaTheme="majorEastAsia"/>
          <w:sz w:val="28"/>
          <w:szCs w:val="28"/>
          <w:shd w:val="clear" w:color="auto" w:fill="FFFFFF"/>
        </w:rPr>
        <w:t xml:space="preserve"> осуществляемого ФГБУ «</w:t>
      </w:r>
      <w:proofErr w:type="gramStart"/>
      <w:r w:rsidRPr="00F60713">
        <w:rPr>
          <w:rFonts w:eastAsiaTheme="majorEastAsia"/>
          <w:sz w:val="28"/>
          <w:szCs w:val="28"/>
          <w:shd w:val="clear" w:color="auto" w:fill="FFFFFF"/>
        </w:rPr>
        <w:t>Среднесибирское</w:t>
      </w:r>
      <w:proofErr w:type="gramEnd"/>
      <w:r w:rsidRPr="00F60713">
        <w:rPr>
          <w:rFonts w:eastAsiaTheme="majorEastAsia"/>
          <w:sz w:val="28"/>
          <w:szCs w:val="28"/>
          <w:shd w:val="clear" w:color="auto" w:fill="FFFFFF"/>
        </w:rPr>
        <w:t xml:space="preserve"> УГМС» на двух гидрологических постах, по итогам которого </w:t>
      </w:r>
      <w:r w:rsidRPr="00F60713">
        <w:rPr>
          <w:rFonts w:eastAsiaTheme="majorEastAsia"/>
          <w:sz w:val="28"/>
          <w:szCs w:val="28"/>
        </w:rPr>
        <w:t xml:space="preserve">случаев высокого и экстремально высокого уровня загрязнения поверхностных вод не зарегистрировано. </w:t>
      </w:r>
      <w:r w:rsidRPr="00F60713">
        <w:rPr>
          <w:rFonts w:eastAsiaTheme="minorHAnsi"/>
          <w:sz w:val="28"/>
          <w:szCs w:val="28"/>
          <w:shd w:val="clear" w:color="auto" w:fill="FFFFFF"/>
        </w:rPr>
        <w:t xml:space="preserve">Рассказала о результатах контроля качества воды открытых водоемов </w:t>
      </w:r>
      <w:r w:rsidRPr="00F60713">
        <w:rPr>
          <w:rFonts w:eastAsiaTheme="minorHAnsi"/>
          <w:sz w:val="28"/>
          <w:szCs w:val="28"/>
        </w:rPr>
        <w:t>и питьевой воды в разводящей сети централизованного хозяйственно-питьевого водоснабжения</w:t>
      </w:r>
      <w:r w:rsidRPr="00F60713">
        <w:rPr>
          <w:rFonts w:eastAsiaTheme="minorHAnsi"/>
          <w:sz w:val="28"/>
          <w:szCs w:val="28"/>
          <w:shd w:val="clear" w:color="auto" w:fill="FFFFFF"/>
        </w:rPr>
        <w:t xml:space="preserve">. Отметила, что согласно данным </w:t>
      </w:r>
      <w:r w:rsidRPr="00F60713">
        <w:rPr>
          <w:rFonts w:eastAsiaTheme="minorHAnsi"/>
          <w:sz w:val="28"/>
          <w:szCs w:val="28"/>
        </w:rPr>
        <w:t>Межрегионального управления №</w:t>
      </w:r>
      <w:bookmarkStart w:id="0" w:name="_GoBack"/>
      <w:bookmarkEnd w:id="0"/>
      <w:r w:rsidRPr="00F60713">
        <w:rPr>
          <w:rFonts w:eastAsiaTheme="minorHAnsi"/>
          <w:sz w:val="28"/>
          <w:szCs w:val="28"/>
        </w:rPr>
        <w:t xml:space="preserve"> 42 ФМБА России выявлены несоответствия установленным нормативам по микробиологическим (9 из 30 проб) и химическим показателям (3 из 12 проб по показателю ХПК) воды обводненных карьеров</w:t>
      </w:r>
      <w:r w:rsidRPr="00F60713">
        <w:rPr>
          <w:rFonts w:eastAsiaTheme="minorHAnsi"/>
          <w:sz w:val="28"/>
          <w:szCs w:val="28"/>
          <w:shd w:val="clear" w:color="auto" w:fill="FFFFFF"/>
        </w:rPr>
        <w:t xml:space="preserve">. </w:t>
      </w:r>
      <w:r w:rsidRPr="00F60713">
        <w:rPr>
          <w:rFonts w:eastAsiaTheme="minorHAnsi"/>
          <w:sz w:val="28"/>
          <w:szCs w:val="28"/>
        </w:rPr>
        <w:t>По результатам контроля качества питьевой воды по микробиологическим, химическим, радиологическим показателям и показателям, связанным с технологией водоподготовки, одна из отобранных 180 проб не соответствовала гигиеническим нормативам (по показателю «запах»).</w:t>
      </w:r>
    </w:p>
    <w:p w:rsidR="00E2721C" w:rsidRPr="00F60713" w:rsidRDefault="00AD4B4A">
      <w:pPr>
        <w:ind w:firstLine="709"/>
        <w:jc w:val="both"/>
        <w:rPr>
          <w:rFonts w:eastAsia="Arial"/>
          <w:sz w:val="28"/>
          <w:szCs w:val="28"/>
        </w:rPr>
      </w:pPr>
      <w:r w:rsidRPr="00F60713">
        <w:rPr>
          <w:rFonts w:eastAsiaTheme="minorHAnsi"/>
          <w:sz w:val="28"/>
          <w:szCs w:val="28"/>
        </w:rPr>
        <w:t>Сообщила, что радиационная обстановка на территории города, согласно наблюдениям КГБУ «Центр реализации мероприятий по природопользованию и охране окружающей среды Красноярского края» в течение отчетного года находилась в пределах допустимых норм.</w:t>
      </w:r>
    </w:p>
    <w:p w:rsidR="00E2721C" w:rsidRPr="00F60713" w:rsidRDefault="00AD4B4A">
      <w:pPr>
        <w:ind w:firstLine="709"/>
        <w:jc w:val="both"/>
        <w:rPr>
          <w:sz w:val="28"/>
          <w:szCs w:val="28"/>
        </w:rPr>
      </w:pPr>
      <w:r w:rsidRPr="00F60713">
        <w:rPr>
          <w:rFonts w:eastAsiaTheme="minorHAnsi"/>
          <w:sz w:val="28"/>
          <w:szCs w:val="28"/>
        </w:rPr>
        <w:t xml:space="preserve">Проинформировала </w:t>
      </w:r>
      <w:r w:rsidRPr="00F60713">
        <w:rPr>
          <w:rFonts w:eastAsiaTheme="majorEastAsia"/>
          <w:sz w:val="28"/>
          <w:szCs w:val="28"/>
        </w:rPr>
        <w:t>участников заседания</w:t>
      </w:r>
      <w:r w:rsidRPr="00F60713">
        <w:rPr>
          <w:rFonts w:eastAsiaTheme="minorHAnsi"/>
          <w:sz w:val="28"/>
          <w:szCs w:val="28"/>
        </w:rPr>
        <w:t xml:space="preserve"> об изменении региональным оператором по обращению с твердыми коммунальными отходами (далее - ТКО) на территории Зеленогорской технологической зоны Красноярского края схемы потоков ТКО в связи с расторжением концессионного соглашения на создание и реконструкцию полигона твердых бытовых отходов в г. Зеленогорске.</w:t>
      </w:r>
    </w:p>
    <w:p w:rsidR="00E2721C" w:rsidRPr="00F60713" w:rsidRDefault="00AD4B4A">
      <w:pPr>
        <w:ind w:firstLine="709"/>
        <w:jc w:val="both"/>
        <w:rPr>
          <w:sz w:val="28"/>
          <w:szCs w:val="28"/>
        </w:rPr>
      </w:pPr>
      <w:r w:rsidRPr="00F60713">
        <w:rPr>
          <w:rFonts w:eastAsiaTheme="majorEastAsia"/>
          <w:sz w:val="28"/>
          <w:szCs w:val="28"/>
          <w:lang w:eastAsia="hi-IN" w:bidi="hi-IN"/>
        </w:rPr>
        <w:t xml:space="preserve">Рассказала об основных направлениях деятельности в области охраны окружающей среды на территории города. </w:t>
      </w:r>
      <w:r w:rsidRPr="00F60713">
        <w:rPr>
          <w:rFonts w:eastAsiaTheme="minorHAnsi"/>
          <w:sz w:val="28"/>
          <w:szCs w:val="28"/>
        </w:rPr>
        <w:t>Сообщила о нарушениях, выявленных МКУ «КООС» в ходе проведения осмотров территории города, и материалах, направленных для принятия мер воздействия к нарушителям. Отметила, что наибольшее количество нарушений выявлено в сфере обращения с отходами.</w:t>
      </w:r>
    </w:p>
    <w:p w:rsidR="00E2721C" w:rsidRPr="00F60713" w:rsidRDefault="00AD4B4A">
      <w:pPr>
        <w:ind w:firstLine="709"/>
        <w:jc w:val="both"/>
        <w:rPr>
          <w:sz w:val="28"/>
          <w:szCs w:val="28"/>
        </w:rPr>
      </w:pPr>
      <w:r w:rsidRPr="00F60713">
        <w:rPr>
          <w:rFonts w:eastAsiaTheme="minorHAnsi"/>
          <w:color w:val="000000"/>
          <w:sz w:val="28"/>
          <w:szCs w:val="28"/>
        </w:rPr>
        <w:t>Назвала мероприятия, реализованные в рамках</w:t>
      </w:r>
      <w:r w:rsidRPr="00F60713">
        <w:rPr>
          <w:rFonts w:eastAsiaTheme="minorHAnsi"/>
          <w:sz w:val="28"/>
          <w:szCs w:val="28"/>
        </w:rPr>
        <w:t xml:space="preserve"> муниципальной программы «Охрана окружающей среды и защита городских лесов на </w:t>
      </w:r>
      <w:r w:rsidRPr="00F60713">
        <w:rPr>
          <w:rFonts w:eastAsiaTheme="minorHAnsi"/>
          <w:sz w:val="28"/>
          <w:szCs w:val="28"/>
        </w:rPr>
        <w:lastRenderedPageBreak/>
        <w:t xml:space="preserve">территории города Зеленогорска», рассказала об их итогах. </w:t>
      </w:r>
      <w:proofErr w:type="gramStart"/>
      <w:r w:rsidRPr="00F60713">
        <w:rPr>
          <w:rFonts w:eastAsiaTheme="minorHAnsi"/>
          <w:sz w:val="28"/>
          <w:szCs w:val="28"/>
        </w:rPr>
        <w:t>Сообщила о проведенных на территории города Зеленогорска мероприятиях по очистке от мусора берегов и прибрежных акваторий водных объектов в рамках реализации федерального проекта «Сохранение уникальных водных объектов» национального проекта «Экология».</w:t>
      </w:r>
      <w:proofErr w:type="gramEnd"/>
    </w:p>
    <w:p w:rsidR="00E2721C" w:rsidRPr="00F60713" w:rsidRDefault="00AD4B4A">
      <w:pPr>
        <w:ind w:firstLine="709"/>
        <w:jc w:val="both"/>
        <w:rPr>
          <w:sz w:val="28"/>
          <w:szCs w:val="28"/>
        </w:rPr>
      </w:pPr>
      <w:r w:rsidRPr="00F60713">
        <w:rPr>
          <w:rFonts w:eastAsiaTheme="minorHAnsi"/>
          <w:sz w:val="28"/>
          <w:szCs w:val="28"/>
        </w:rPr>
        <w:t xml:space="preserve">Перечислила основные проблемы в области охраны </w:t>
      </w:r>
      <w:r w:rsidRPr="00F60713">
        <w:rPr>
          <w:rFonts w:eastAsiaTheme="majorEastAsia"/>
          <w:sz w:val="28"/>
          <w:szCs w:val="28"/>
          <w:lang w:eastAsia="hi-IN" w:bidi="hi-IN"/>
        </w:rPr>
        <w:t>окружающей среды</w:t>
      </w:r>
      <w:r w:rsidRPr="00F60713">
        <w:rPr>
          <w:rFonts w:eastAsiaTheme="minorHAnsi"/>
          <w:sz w:val="28"/>
          <w:szCs w:val="28"/>
        </w:rPr>
        <w:t xml:space="preserve">, сформулировала задачи на 2024 год. </w:t>
      </w:r>
    </w:p>
    <w:p w:rsidR="00E2721C" w:rsidRPr="00F60713" w:rsidRDefault="00AD4B4A">
      <w:pPr>
        <w:ind w:firstLine="709"/>
        <w:jc w:val="both"/>
        <w:rPr>
          <w:sz w:val="28"/>
          <w:szCs w:val="28"/>
        </w:rPr>
      </w:pPr>
      <w:r w:rsidRPr="00F60713">
        <w:rPr>
          <w:rFonts w:eastAsiaTheme="minorHAnsi"/>
          <w:sz w:val="28"/>
          <w:szCs w:val="28"/>
        </w:rPr>
        <w:t>В ходе обсуждения отчета членом общественного совета Михайловым В.С.</w:t>
      </w:r>
      <w:r w:rsidRPr="00F60713">
        <w:rPr>
          <w:rFonts w:eastAsiaTheme="majorEastAsia"/>
          <w:sz w:val="28"/>
          <w:szCs w:val="28"/>
        </w:rPr>
        <w:t xml:space="preserve"> внесено предложение в целях предотвращения заморов рыбы на обводненном карьере «озеро Центральное» предусмотреть выполнение в зимний период подледной трехкратной аэрации воды компрессионным нагнетанием воздуха через 20 лунок.</w:t>
      </w:r>
    </w:p>
    <w:p w:rsidR="00E2721C" w:rsidRPr="00F60713" w:rsidRDefault="00AD4B4A">
      <w:pPr>
        <w:ind w:firstLine="709"/>
        <w:jc w:val="both"/>
        <w:rPr>
          <w:sz w:val="28"/>
          <w:szCs w:val="28"/>
        </w:rPr>
      </w:pPr>
      <w:r w:rsidRPr="00F60713">
        <w:rPr>
          <w:rFonts w:eastAsiaTheme="minorHAnsi"/>
          <w:sz w:val="28"/>
          <w:szCs w:val="28"/>
          <w:lang w:eastAsia="hi-IN" w:bidi="hi-IN"/>
        </w:rPr>
        <w:t>По итогам обсуждения доклада директора МКУ «КООС» членами общественного совета принято решение р</w:t>
      </w:r>
      <w:r w:rsidRPr="00F60713">
        <w:rPr>
          <w:rFonts w:eastAsiaTheme="majorEastAsia"/>
          <w:sz w:val="28"/>
          <w:szCs w:val="28"/>
        </w:rPr>
        <w:t xml:space="preserve">екомендовать МКУ «КООС» направить в </w:t>
      </w:r>
      <w:proofErr w:type="gramStart"/>
      <w:r w:rsidRPr="00F60713">
        <w:rPr>
          <w:rFonts w:eastAsiaTheme="majorEastAsia"/>
          <w:sz w:val="28"/>
          <w:szCs w:val="28"/>
        </w:rPr>
        <w:t>Администрацию</w:t>
      </w:r>
      <w:proofErr w:type="gramEnd"/>
      <w:r w:rsidRPr="00F60713">
        <w:rPr>
          <w:rFonts w:eastAsiaTheme="majorEastAsia"/>
          <w:sz w:val="28"/>
          <w:szCs w:val="28"/>
        </w:rPr>
        <w:t xml:space="preserve"> ЗАТО г. Зеленогорск информацию о дополнительных мероприятиях по аэрации воды обводненного карьера «озеро Центральное» в целях обеспечения благоприятного кислородного режима водоема в зимне-весенний период и предотвращения заморов рыбы.</w:t>
      </w:r>
    </w:p>
    <w:p w:rsidR="00E2721C" w:rsidRPr="00F60713" w:rsidRDefault="00AD4B4A">
      <w:pPr>
        <w:ind w:firstLine="709"/>
        <w:jc w:val="both"/>
        <w:rPr>
          <w:sz w:val="28"/>
          <w:szCs w:val="28"/>
        </w:rPr>
      </w:pPr>
      <w:r w:rsidRPr="00F60713">
        <w:rPr>
          <w:rFonts w:eastAsiaTheme="majorEastAsia"/>
          <w:sz w:val="28"/>
          <w:szCs w:val="28"/>
        </w:rPr>
        <w:t xml:space="preserve">4. В ходе заседания членами общественного совета затронуты вопросы загрязнения атмосферного воздуха в результате деятельности филиала АО «Енисейская ТГК (ТГК-13)» - «Красноярская ГРЭС-2». Михайлов В.С. привел </w:t>
      </w:r>
      <w:proofErr w:type="spellStart"/>
      <w:r w:rsidRPr="00F60713">
        <w:rPr>
          <w:rFonts w:eastAsiaTheme="majorEastAsia"/>
          <w:sz w:val="28"/>
          <w:szCs w:val="28"/>
        </w:rPr>
        <w:t>фотофакты</w:t>
      </w:r>
      <w:proofErr w:type="spellEnd"/>
      <w:r w:rsidRPr="00F60713">
        <w:rPr>
          <w:rFonts w:eastAsiaTheme="majorEastAsia"/>
          <w:sz w:val="28"/>
          <w:szCs w:val="28"/>
        </w:rPr>
        <w:t xml:space="preserve"> пыления на </w:t>
      </w:r>
      <w:proofErr w:type="spellStart"/>
      <w:r w:rsidRPr="00F60713">
        <w:rPr>
          <w:rFonts w:eastAsiaTheme="majorEastAsia"/>
          <w:sz w:val="28"/>
          <w:szCs w:val="28"/>
        </w:rPr>
        <w:t>золоотвале</w:t>
      </w:r>
      <w:proofErr w:type="spellEnd"/>
      <w:r w:rsidRPr="00F60713">
        <w:rPr>
          <w:rFonts w:eastAsiaTheme="majorEastAsia"/>
          <w:sz w:val="28"/>
          <w:szCs w:val="28"/>
        </w:rPr>
        <w:t xml:space="preserve"> в летний период 2023 года и сильного дымления труб филиала АО «</w:t>
      </w:r>
      <w:proofErr w:type="gramStart"/>
      <w:r w:rsidRPr="00F60713">
        <w:rPr>
          <w:rFonts w:eastAsiaTheme="majorEastAsia"/>
          <w:sz w:val="28"/>
          <w:szCs w:val="28"/>
        </w:rPr>
        <w:t>Енисейская</w:t>
      </w:r>
      <w:proofErr w:type="gramEnd"/>
      <w:r w:rsidRPr="00F60713">
        <w:rPr>
          <w:rFonts w:eastAsiaTheme="majorEastAsia"/>
          <w:sz w:val="28"/>
          <w:szCs w:val="28"/>
        </w:rPr>
        <w:t xml:space="preserve"> ТГК (ТГК-13)» - «Красноярская ГРЭС-2» в 2023 - 2024 годах. Выразил мнение о необходимости направить в адрес АО «Енисейская ТГК (ТГК-13)» предложение об обязании филиала АО «Енисейская ТГК (ТГК-13)» - «Красноярская ГРЭС-2» провести инженерно-технические работы по орошению </w:t>
      </w:r>
      <w:proofErr w:type="spellStart"/>
      <w:r w:rsidRPr="00F60713">
        <w:rPr>
          <w:rFonts w:eastAsiaTheme="majorEastAsia"/>
          <w:sz w:val="28"/>
          <w:szCs w:val="28"/>
        </w:rPr>
        <w:t>золоотвала</w:t>
      </w:r>
      <w:proofErr w:type="spellEnd"/>
      <w:r w:rsidRPr="00F60713">
        <w:rPr>
          <w:rFonts w:eastAsiaTheme="majorEastAsia"/>
          <w:sz w:val="28"/>
          <w:szCs w:val="28"/>
        </w:rPr>
        <w:t xml:space="preserve"> для исключения ветровой эрозии и пыления в летние месяцы. С целью снижения выбросов в атмосферу в инвестиционной программе АО «</w:t>
      </w:r>
      <w:proofErr w:type="gramStart"/>
      <w:r w:rsidRPr="00F60713">
        <w:rPr>
          <w:rFonts w:eastAsiaTheme="majorEastAsia"/>
          <w:sz w:val="28"/>
          <w:szCs w:val="28"/>
        </w:rPr>
        <w:t>Енисейская</w:t>
      </w:r>
      <w:proofErr w:type="gramEnd"/>
      <w:r w:rsidRPr="00F60713">
        <w:rPr>
          <w:rFonts w:eastAsiaTheme="majorEastAsia"/>
          <w:sz w:val="28"/>
          <w:szCs w:val="28"/>
        </w:rPr>
        <w:t xml:space="preserve"> ТГК (ТГК-13)» на 2025 – 2026 годы предусмотреть средства на установку электрофильтров.</w:t>
      </w:r>
    </w:p>
    <w:p w:rsidR="00E2721C" w:rsidRPr="00F60713" w:rsidRDefault="00AD4B4A">
      <w:pPr>
        <w:shd w:val="clear" w:color="auto" w:fill="FFFFFF"/>
        <w:ind w:firstLine="709"/>
        <w:jc w:val="both"/>
        <w:rPr>
          <w:sz w:val="28"/>
          <w:szCs w:val="28"/>
        </w:rPr>
      </w:pPr>
      <w:r w:rsidRPr="00F60713">
        <w:rPr>
          <w:rFonts w:eastAsiaTheme="majorEastAsia"/>
          <w:sz w:val="28"/>
          <w:szCs w:val="28"/>
        </w:rPr>
        <w:t xml:space="preserve">В целях снижения загрязнения атмосферного воздуха взвешенными частицами принято решение рекомендовать </w:t>
      </w:r>
      <w:proofErr w:type="gramStart"/>
      <w:r w:rsidRPr="00F60713">
        <w:rPr>
          <w:rFonts w:eastAsiaTheme="majorEastAsia"/>
          <w:sz w:val="28"/>
          <w:szCs w:val="28"/>
        </w:rPr>
        <w:t>Администрации</w:t>
      </w:r>
      <w:proofErr w:type="gramEnd"/>
      <w:r w:rsidRPr="00F60713">
        <w:rPr>
          <w:rFonts w:eastAsiaTheme="majorEastAsia"/>
          <w:sz w:val="28"/>
          <w:szCs w:val="28"/>
        </w:rPr>
        <w:t xml:space="preserve"> ЗАТО                         г. Зеленогорск направить в адрес АО «Енисейская ТГК (ТГК-13)» письмо о рассмотрении вопросов оснащения филиала АО «Енисейская ТГК (ТГК-13)» - «Красноярская ГРЭС-2» эффективным газоочистным оборудованием и выполнения мероприятий по предотвращению пыления на </w:t>
      </w:r>
      <w:proofErr w:type="spellStart"/>
      <w:r w:rsidRPr="00F60713">
        <w:rPr>
          <w:rFonts w:eastAsiaTheme="majorEastAsia"/>
          <w:sz w:val="28"/>
          <w:szCs w:val="28"/>
        </w:rPr>
        <w:t>золоотвале</w:t>
      </w:r>
      <w:proofErr w:type="spellEnd"/>
      <w:r w:rsidRPr="00F60713">
        <w:rPr>
          <w:rFonts w:eastAsiaTheme="majorEastAsia"/>
          <w:sz w:val="28"/>
          <w:szCs w:val="28"/>
        </w:rPr>
        <w:t>.</w:t>
      </w:r>
    </w:p>
    <w:p w:rsidR="00E2721C" w:rsidRPr="00F60713" w:rsidRDefault="00E2721C">
      <w:pPr>
        <w:ind w:firstLine="709"/>
        <w:jc w:val="both"/>
        <w:rPr>
          <w:color w:val="000000"/>
          <w:sz w:val="28"/>
          <w:szCs w:val="28"/>
          <w:highlight w:val="yellow"/>
        </w:rPr>
      </w:pPr>
    </w:p>
    <w:sectPr w:rsidR="00E2721C" w:rsidRPr="00F60713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5E9" w:rsidRDefault="00EF35E9">
      <w:r>
        <w:separator/>
      </w:r>
    </w:p>
  </w:endnote>
  <w:endnote w:type="continuationSeparator" w:id="0">
    <w:p w:rsidR="00EF35E9" w:rsidRDefault="00EF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5E9" w:rsidRDefault="00EF35E9">
      <w:r>
        <w:separator/>
      </w:r>
    </w:p>
  </w:footnote>
  <w:footnote w:type="continuationSeparator" w:id="0">
    <w:p w:rsidR="00EF35E9" w:rsidRDefault="00EF3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E7BA6"/>
    <w:multiLevelType w:val="hybridMultilevel"/>
    <w:tmpl w:val="C51C5B7C"/>
    <w:lvl w:ilvl="0" w:tplc="0136E404">
      <w:start w:val="1"/>
      <w:numFmt w:val="decimal"/>
      <w:lvlText w:val="%1."/>
      <w:lvlJc w:val="left"/>
    </w:lvl>
    <w:lvl w:ilvl="1" w:tplc="1480EB86">
      <w:start w:val="1"/>
      <w:numFmt w:val="lowerLetter"/>
      <w:lvlText w:val="%2."/>
      <w:lvlJc w:val="left"/>
      <w:pPr>
        <w:ind w:left="1440" w:hanging="360"/>
      </w:pPr>
    </w:lvl>
    <w:lvl w:ilvl="2" w:tplc="0E8671B6">
      <w:start w:val="1"/>
      <w:numFmt w:val="lowerRoman"/>
      <w:lvlText w:val="%3."/>
      <w:lvlJc w:val="right"/>
      <w:pPr>
        <w:ind w:left="2160" w:hanging="180"/>
      </w:pPr>
    </w:lvl>
    <w:lvl w:ilvl="3" w:tplc="CE0E8B68">
      <w:start w:val="1"/>
      <w:numFmt w:val="decimal"/>
      <w:lvlText w:val="%4."/>
      <w:lvlJc w:val="left"/>
      <w:pPr>
        <w:ind w:left="2880" w:hanging="360"/>
      </w:pPr>
    </w:lvl>
    <w:lvl w:ilvl="4" w:tplc="801887D2">
      <w:start w:val="1"/>
      <w:numFmt w:val="lowerLetter"/>
      <w:lvlText w:val="%5."/>
      <w:lvlJc w:val="left"/>
      <w:pPr>
        <w:ind w:left="3600" w:hanging="360"/>
      </w:pPr>
    </w:lvl>
    <w:lvl w:ilvl="5" w:tplc="28BE4A00">
      <w:start w:val="1"/>
      <w:numFmt w:val="lowerRoman"/>
      <w:lvlText w:val="%6."/>
      <w:lvlJc w:val="right"/>
      <w:pPr>
        <w:ind w:left="4320" w:hanging="180"/>
      </w:pPr>
    </w:lvl>
    <w:lvl w:ilvl="6" w:tplc="744E6CF0">
      <w:start w:val="1"/>
      <w:numFmt w:val="decimal"/>
      <w:lvlText w:val="%7."/>
      <w:lvlJc w:val="left"/>
      <w:pPr>
        <w:ind w:left="5040" w:hanging="360"/>
      </w:pPr>
    </w:lvl>
    <w:lvl w:ilvl="7" w:tplc="956CC17C">
      <w:start w:val="1"/>
      <w:numFmt w:val="lowerLetter"/>
      <w:lvlText w:val="%8."/>
      <w:lvlJc w:val="left"/>
      <w:pPr>
        <w:ind w:left="5760" w:hanging="360"/>
      </w:pPr>
    </w:lvl>
    <w:lvl w:ilvl="8" w:tplc="48C8B12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ED4A7A"/>
    <w:multiLevelType w:val="hybridMultilevel"/>
    <w:tmpl w:val="E0ACDF16"/>
    <w:lvl w:ilvl="0" w:tplc="CE54F45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D3F2A2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516E69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712CBA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4AC4F3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11028C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75A988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8FE46D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C0A409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3B422037"/>
    <w:multiLevelType w:val="hybridMultilevel"/>
    <w:tmpl w:val="11A42B96"/>
    <w:lvl w:ilvl="0" w:tplc="7216141C">
      <w:start w:val="1"/>
      <w:numFmt w:val="decimal"/>
      <w:lvlText w:val="%1."/>
      <w:lvlJc w:val="left"/>
    </w:lvl>
    <w:lvl w:ilvl="1" w:tplc="E174DAFC">
      <w:start w:val="1"/>
      <w:numFmt w:val="lowerLetter"/>
      <w:lvlText w:val="%2."/>
      <w:lvlJc w:val="left"/>
      <w:pPr>
        <w:ind w:left="1440" w:hanging="360"/>
      </w:pPr>
    </w:lvl>
    <w:lvl w:ilvl="2" w:tplc="B2363C92">
      <w:start w:val="1"/>
      <w:numFmt w:val="lowerRoman"/>
      <w:lvlText w:val="%3."/>
      <w:lvlJc w:val="right"/>
      <w:pPr>
        <w:ind w:left="2160" w:hanging="180"/>
      </w:pPr>
    </w:lvl>
    <w:lvl w:ilvl="3" w:tplc="3176E428">
      <w:start w:val="1"/>
      <w:numFmt w:val="decimal"/>
      <w:lvlText w:val="%4."/>
      <w:lvlJc w:val="left"/>
      <w:pPr>
        <w:ind w:left="2880" w:hanging="360"/>
      </w:pPr>
    </w:lvl>
    <w:lvl w:ilvl="4" w:tplc="55CA9C68">
      <w:start w:val="1"/>
      <w:numFmt w:val="lowerLetter"/>
      <w:lvlText w:val="%5."/>
      <w:lvlJc w:val="left"/>
      <w:pPr>
        <w:ind w:left="3600" w:hanging="360"/>
      </w:pPr>
    </w:lvl>
    <w:lvl w:ilvl="5" w:tplc="A7748C0A">
      <w:start w:val="1"/>
      <w:numFmt w:val="lowerRoman"/>
      <w:lvlText w:val="%6."/>
      <w:lvlJc w:val="right"/>
      <w:pPr>
        <w:ind w:left="4320" w:hanging="180"/>
      </w:pPr>
    </w:lvl>
    <w:lvl w:ilvl="6" w:tplc="05F01EDA">
      <w:start w:val="1"/>
      <w:numFmt w:val="decimal"/>
      <w:lvlText w:val="%7."/>
      <w:lvlJc w:val="left"/>
      <w:pPr>
        <w:ind w:left="5040" w:hanging="360"/>
      </w:pPr>
    </w:lvl>
    <w:lvl w:ilvl="7" w:tplc="DE62E38A">
      <w:start w:val="1"/>
      <w:numFmt w:val="lowerLetter"/>
      <w:lvlText w:val="%8."/>
      <w:lvlJc w:val="left"/>
      <w:pPr>
        <w:ind w:left="5760" w:hanging="360"/>
      </w:pPr>
    </w:lvl>
    <w:lvl w:ilvl="8" w:tplc="AAAE4B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324E49"/>
    <w:multiLevelType w:val="hybridMultilevel"/>
    <w:tmpl w:val="1D62BA38"/>
    <w:lvl w:ilvl="0" w:tplc="7E5023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9560B6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363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A6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02A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CAD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425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E7F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DEAF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E10D2"/>
    <w:multiLevelType w:val="hybridMultilevel"/>
    <w:tmpl w:val="FEEC3784"/>
    <w:lvl w:ilvl="0" w:tplc="2E00269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6789C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76AFA3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06E531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E22249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D6A796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B48461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8592A89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76CCA9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>
    <w:nsid w:val="600A29DD"/>
    <w:multiLevelType w:val="hybridMultilevel"/>
    <w:tmpl w:val="64964924"/>
    <w:lvl w:ilvl="0" w:tplc="39F01430">
      <w:start w:val="1"/>
      <w:numFmt w:val="decimal"/>
      <w:lvlText w:val="%1."/>
      <w:lvlJc w:val="left"/>
    </w:lvl>
    <w:lvl w:ilvl="1" w:tplc="F8EC0720">
      <w:start w:val="1"/>
      <w:numFmt w:val="lowerLetter"/>
      <w:lvlText w:val="%2."/>
      <w:lvlJc w:val="left"/>
      <w:pPr>
        <w:ind w:left="1440" w:hanging="360"/>
      </w:pPr>
    </w:lvl>
    <w:lvl w:ilvl="2" w:tplc="AF4A5938">
      <w:start w:val="1"/>
      <w:numFmt w:val="lowerRoman"/>
      <w:lvlText w:val="%3."/>
      <w:lvlJc w:val="right"/>
      <w:pPr>
        <w:ind w:left="2160" w:hanging="180"/>
      </w:pPr>
    </w:lvl>
    <w:lvl w:ilvl="3" w:tplc="1C1E1996">
      <w:start w:val="1"/>
      <w:numFmt w:val="decimal"/>
      <w:lvlText w:val="%4."/>
      <w:lvlJc w:val="left"/>
      <w:pPr>
        <w:ind w:left="2880" w:hanging="360"/>
      </w:pPr>
    </w:lvl>
    <w:lvl w:ilvl="4" w:tplc="E056EC94">
      <w:start w:val="1"/>
      <w:numFmt w:val="lowerLetter"/>
      <w:lvlText w:val="%5."/>
      <w:lvlJc w:val="left"/>
      <w:pPr>
        <w:ind w:left="3600" w:hanging="360"/>
      </w:pPr>
    </w:lvl>
    <w:lvl w:ilvl="5" w:tplc="67DE40E0">
      <w:start w:val="1"/>
      <w:numFmt w:val="lowerRoman"/>
      <w:lvlText w:val="%6."/>
      <w:lvlJc w:val="right"/>
      <w:pPr>
        <w:ind w:left="4320" w:hanging="180"/>
      </w:pPr>
    </w:lvl>
    <w:lvl w:ilvl="6" w:tplc="1DC0D96A">
      <w:start w:val="1"/>
      <w:numFmt w:val="decimal"/>
      <w:lvlText w:val="%7."/>
      <w:lvlJc w:val="left"/>
      <w:pPr>
        <w:ind w:left="5040" w:hanging="360"/>
      </w:pPr>
    </w:lvl>
    <w:lvl w:ilvl="7" w:tplc="6270C3DA">
      <w:start w:val="1"/>
      <w:numFmt w:val="lowerLetter"/>
      <w:lvlText w:val="%8."/>
      <w:lvlJc w:val="left"/>
      <w:pPr>
        <w:ind w:left="5760" w:hanging="360"/>
      </w:pPr>
    </w:lvl>
    <w:lvl w:ilvl="8" w:tplc="2A3A6B6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C63BE"/>
    <w:multiLevelType w:val="hybridMultilevel"/>
    <w:tmpl w:val="8C6CADA8"/>
    <w:lvl w:ilvl="0" w:tplc="B59217E4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D3841EA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0480E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160A8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B8841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8740E2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0E4CF1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C837C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BCC5CB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18088F"/>
    <w:multiLevelType w:val="hybridMultilevel"/>
    <w:tmpl w:val="0A188D26"/>
    <w:lvl w:ilvl="0" w:tplc="541E8F7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FF85B8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F684B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D744EC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58801E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70439B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130D93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DDE143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BD2687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21C"/>
    <w:rsid w:val="006B02A5"/>
    <w:rsid w:val="00AD4B4A"/>
    <w:rsid w:val="00E2721C"/>
    <w:rsid w:val="00EF35E9"/>
    <w:rsid w:val="00F6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semiHidden/>
    <w:unhideWhenUsed/>
    <w:qFormat/>
    <w:pPr>
      <w:keepNext/>
      <w:jc w:val="center"/>
      <w:outlineLvl w:val="8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paragraph" w:styleId="af3">
    <w:name w:val="Title"/>
    <w:basedOn w:val="a"/>
    <w:link w:val="af4"/>
    <w:qFormat/>
    <w:pPr>
      <w:jc w:val="center"/>
    </w:pPr>
    <w:rPr>
      <w:b/>
      <w:sz w:val="28"/>
    </w:rPr>
  </w:style>
  <w:style w:type="character" w:customStyle="1" w:styleId="af4">
    <w:name w:val="Название Знак"/>
    <w:basedOn w:val="a0"/>
    <w:link w:val="a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5">
    <w:name w:val="Hyperlink"/>
    <w:uiPriority w:val="99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c">
    <w:name w:val="Strong"/>
    <w:uiPriority w:val="22"/>
    <w:qFormat/>
    <w:rPr>
      <w:b/>
      <w:bCs/>
    </w:rPr>
  </w:style>
  <w:style w:type="paragraph" w:customStyle="1" w:styleId="s16">
    <w:name w:val="s_1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semiHidden/>
    <w:unhideWhenUsed/>
    <w:qFormat/>
    <w:pPr>
      <w:keepNext/>
      <w:jc w:val="center"/>
      <w:outlineLvl w:val="8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9">
    <w:name w:val="Нижний колонтитул Знак"/>
    <w:link w:val="a8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Pr>
      <w:rFonts w:ascii="Times New Roman" w:eastAsia="Times New Roman" w:hAnsi="Times New Roman" w:cs="Times New Roman"/>
      <w:b/>
      <w:sz w:val="14"/>
      <w:szCs w:val="20"/>
      <w:lang w:eastAsia="ru-RU"/>
    </w:rPr>
  </w:style>
  <w:style w:type="paragraph" w:styleId="af3">
    <w:name w:val="Title"/>
    <w:basedOn w:val="a"/>
    <w:link w:val="af4"/>
    <w:qFormat/>
    <w:pPr>
      <w:jc w:val="center"/>
    </w:pPr>
    <w:rPr>
      <w:b/>
      <w:sz w:val="28"/>
    </w:rPr>
  </w:style>
  <w:style w:type="character" w:customStyle="1" w:styleId="af4">
    <w:name w:val="Название Знак"/>
    <w:basedOn w:val="a0"/>
    <w:link w:val="af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5">
    <w:name w:val="Hyperlink"/>
    <w:uiPriority w:val="99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/>
      <w:ind w:left="720"/>
      <w:contextualSpacing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c">
    <w:name w:val="Strong"/>
    <w:uiPriority w:val="22"/>
    <w:qFormat/>
    <w:rPr>
      <w:b/>
      <w:bCs/>
    </w:rPr>
  </w:style>
  <w:style w:type="paragraph" w:customStyle="1" w:styleId="s16">
    <w:name w:val="s_1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Verdana" w:eastAsia="Verdana" w:hAnsi="Verdana" w:cs="Verdana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C740CF1C-24ED-4AC6-9CF9-89B5E2660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1582</Words>
  <Characters>9020</Characters>
  <Application>Microsoft Office Word</Application>
  <DocSecurity>0</DocSecurity>
  <Lines>75</Lines>
  <Paragraphs>21</Paragraphs>
  <ScaleCrop>false</ScaleCrop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</cp:lastModifiedBy>
  <cp:revision>24</cp:revision>
  <dcterms:created xsi:type="dcterms:W3CDTF">2021-06-02T04:17:00Z</dcterms:created>
  <dcterms:modified xsi:type="dcterms:W3CDTF">2024-05-30T08:07:00Z</dcterms:modified>
</cp:coreProperties>
</file>