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D3873" w:rsidP="00547F5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 w:rsidR="00213B42">
              <w:rPr>
                <w:noProof/>
                <w:sz w:val="28"/>
                <w:szCs w:val="28"/>
              </w:rPr>
              <w:t>27.10.2022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547F5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13B42">
              <w:rPr>
                <w:sz w:val="28"/>
                <w:szCs w:val="28"/>
              </w:rPr>
              <w:t>160-п</w:t>
            </w:r>
          </w:p>
        </w:tc>
      </w:tr>
      <w:tr w:rsidR="00FD6988" w:rsidTr="00653C79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E46016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E46016" w:rsidRPr="00766948" w:rsidRDefault="00737A5A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66948">
              <w:rPr>
                <w:sz w:val="26"/>
                <w:szCs w:val="26"/>
              </w:rPr>
              <w:t xml:space="preserve">О внесении изменений в </w:t>
            </w:r>
            <w:r w:rsidR="00E46016" w:rsidRPr="00766948">
              <w:rPr>
                <w:sz w:val="26"/>
                <w:szCs w:val="26"/>
              </w:rPr>
              <w:t xml:space="preserve">постановление Администрации ЗАТО г. Зеленогорска </w:t>
            </w:r>
          </w:p>
          <w:p w:rsidR="000422C0" w:rsidRPr="00E46016" w:rsidRDefault="00E46016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66948">
              <w:rPr>
                <w:sz w:val="26"/>
                <w:szCs w:val="26"/>
              </w:rPr>
              <w:t xml:space="preserve">от 12.11.2021 № 165-п «Об утверждении перечней </w:t>
            </w:r>
            <w:r w:rsidR="004D3677" w:rsidRPr="00766948">
              <w:rPr>
                <w:sz w:val="26"/>
                <w:szCs w:val="26"/>
              </w:rPr>
              <w:t>главных администраторов доходов местного бюджета</w:t>
            </w:r>
            <w:r w:rsidR="000422C0" w:rsidRPr="00766948">
              <w:rPr>
                <w:sz w:val="26"/>
                <w:szCs w:val="26"/>
              </w:rPr>
              <w:t xml:space="preserve"> </w:t>
            </w:r>
            <w:r w:rsidRPr="00766948">
              <w:rPr>
                <w:sz w:val="26"/>
                <w:szCs w:val="26"/>
              </w:rPr>
              <w:t xml:space="preserve">и главных администраторов источников финансирования дефицита местного бюджета </w:t>
            </w:r>
            <w:r w:rsidR="00AC7755" w:rsidRPr="00766948">
              <w:rPr>
                <w:sz w:val="26"/>
                <w:szCs w:val="26"/>
              </w:rPr>
              <w:t>города Зеленогорска</w:t>
            </w:r>
            <w:r w:rsidRPr="00766948">
              <w:rPr>
                <w:sz w:val="26"/>
                <w:szCs w:val="26"/>
              </w:rPr>
              <w:t>»</w:t>
            </w:r>
          </w:p>
        </w:tc>
      </w:tr>
    </w:tbl>
    <w:p w:rsidR="000422C0" w:rsidRPr="00E46016" w:rsidRDefault="000422C0" w:rsidP="000422C0">
      <w:pPr>
        <w:jc w:val="both"/>
        <w:rPr>
          <w:sz w:val="26"/>
          <w:szCs w:val="26"/>
        </w:rPr>
      </w:pPr>
    </w:p>
    <w:p w:rsidR="004D0E14" w:rsidRPr="00766948" w:rsidRDefault="004D0E14" w:rsidP="00AC7755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66948">
        <w:rPr>
          <w:sz w:val="26"/>
          <w:szCs w:val="26"/>
        </w:rPr>
        <w:t xml:space="preserve">В </w:t>
      </w:r>
      <w:r w:rsidR="005B7180" w:rsidRPr="00766948">
        <w:rPr>
          <w:sz w:val="26"/>
          <w:szCs w:val="26"/>
        </w:rPr>
        <w:t xml:space="preserve">целях уточнения перечня главных администраторов доходов местного бюджета города Зеленогорска, в </w:t>
      </w:r>
      <w:r w:rsidRPr="00766948">
        <w:rPr>
          <w:sz w:val="26"/>
          <w:szCs w:val="26"/>
        </w:rPr>
        <w:t xml:space="preserve">соответствии с </w:t>
      </w:r>
      <w:hyperlink r:id="rId10" w:history="1">
        <w:r w:rsidRPr="00766948">
          <w:rPr>
            <w:sz w:val="26"/>
            <w:szCs w:val="26"/>
          </w:rPr>
          <w:t>пункт</w:t>
        </w:r>
        <w:r w:rsidR="003F79B3" w:rsidRPr="00766948">
          <w:rPr>
            <w:sz w:val="26"/>
            <w:szCs w:val="26"/>
          </w:rPr>
          <w:t>ом</w:t>
        </w:r>
        <w:r w:rsidRPr="00766948">
          <w:rPr>
            <w:sz w:val="26"/>
            <w:szCs w:val="26"/>
          </w:rPr>
          <w:t xml:space="preserve"> 3.2 статьи 160.1</w:t>
        </w:r>
      </w:hyperlink>
      <w:r w:rsidR="005C1634" w:rsidRPr="00766948">
        <w:rPr>
          <w:sz w:val="26"/>
          <w:szCs w:val="26"/>
        </w:rPr>
        <w:t xml:space="preserve"> Бюджетного кодекса Российской Федерации</w:t>
      </w:r>
      <w:r w:rsidR="00750567" w:rsidRPr="00766948">
        <w:rPr>
          <w:sz w:val="26"/>
          <w:szCs w:val="26"/>
        </w:rPr>
        <w:t xml:space="preserve">, </w:t>
      </w:r>
      <w:r w:rsidR="002C23A1">
        <w:rPr>
          <w:sz w:val="26"/>
          <w:szCs w:val="26"/>
        </w:rPr>
        <w:t>Общи</w:t>
      </w:r>
      <w:r w:rsidR="00255A25">
        <w:rPr>
          <w:sz w:val="26"/>
          <w:szCs w:val="26"/>
        </w:rPr>
        <w:t>ми</w:t>
      </w:r>
      <w:r w:rsidR="002C23A1">
        <w:rPr>
          <w:sz w:val="26"/>
          <w:szCs w:val="26"/>
        </w:rPr>
        <w:t xml:space="preserve"> требовани</w:t>
      </w:r>
      <w:r w:rsidR="00255A25">
        <w:rPr>
          <w:sz w:val="26"/>
          <w:szCs w:val="26"/>
        </w:rPr>
        <w:t>ями</w:t>
      </w:r>
      <w:r w:rsidR="002C23A1">
        <w:rPr>
          <w:sz w:val="26"/>
          <w:szCs w:val="26"/>
        </w:rPr>
        <w:t xml:space="preserve">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</w:t>
      </w:r>
      <w:r w:rsidR="00255A25">
        <w:rPr>
          <w:sz w:val="26"/>
          <w:szCs w:val="26"/>
        </w:rPr>
        <w:t>ыми</w:t>
      </w:r>
      <w:r w:rsidR="002C23A1">
        <w:rPr>
          <w:sz w:val="26"/>
          <w:szCs w:val="26"/>
        </w:rPr>
        <w:t xml:space="preserve"> </w:t>
      </w:r>
      <w:r w:rsidR="00255A25">
        <w:rPr>
          <w:sz w:val="26"/>
          <w:szCs w:val="26"/>
        </w:rPr>
        <w:t>п</w:t>
      </w:r>
      <w:r w:rsidR="002C23A1">
        <w:rPr>
          <w:sz w:val="26"/>
          <w:szCs w:val="26"/>
        </w:rPr>
        <w:t xml:space="preserve">остановлением Правительства Российской Федерации от 16.09.2021 № 1569, </w:t>
      </w:r>
      <w:r w:rsidR="00AC7755" w:rsidRPr="00766948">
        <w:rPr>
          <w:sz w:val="26"/>
          <w:szCs w:val="26"/>
        </w:rPr>
        <w:t xml:space="preserve">пунктом 3.2 </w:t>
      </w:r>
      <w:r w:rsidR="003F79B3" w:rsidRPr="00766948">
        <w:rPr>
          <w:sz w:val="26"/>
          <w:szCs w:val="26"/>
        </w:rPr>
        <w:t xml:space="preserve">Положения о бюджетном процессе в городе Зеленогорске, утвержденного </w:t>
      </w:r>
      <w:r w:rsidR="00AC7755" w:rsidRPr="00766948">
        <w:rPr>
          <w:sz w:val="26"/>
          <w:szCs w:val="26"/>
        </w:rPr>
        <w:t>решени</w:t>
      </w:r>
      <w:r w:rsidR="003F79B3" w:rsidRPr="00766948">
        <w:rPr>
          <w:sz w:val="26"/>
          <w:szCs w:val="26"/>
        </w:rPr>
        <w:t>ем</w:t>
      </w:r>
      <w:r w:rsidR="00AC7755" w:rsidRPr="00766948">
        <w:rPr>
          <w:sz w:val="26"/>
          <w:szCs w:val="26"/>
        </w:rPr>
        <w:t xml:space="preserve"> Совета депутатов ЗАТО г. Зеленогорска от 30</w:t>
      </w:r>
      <w:r w:rsidRPr="00766948">
        <w:rPr>
          <w:sz w:val="26"/>
          <w:szCs w:val="26"/>
        </w:rPr>
        <w:t>.1</w:t>
      </w:r>
      <w:r w:rsidR="00AC7755" w:rsidRPr="00766948">
        <w:rPr>
          <w:sz w:val="26"/>
          <w:szCs w:val="26"/>
        </w:rPr>
        <w:t>0</w:t>
      </w:r>
      <w:r w:rsidRPr="00766948">
        <w:rPr>
          <w:sz w:val="26"/>
          <w:szCs w:val="26"/>
        </w:rPr>
        <w:t>.20</w:t>
      </w:r>
      <w:r w:rsidR="00AC7755" w:rsidRPr="00766948">
        <w:rPr>
          <w:sz w:val="26"/>
          <w:szCs w:val="26"/>
        </w:rPr>
        <w:t>19</w:t>
      </w:r>
      <w:r w:rsidRPr="00766948">
        <w:rPr>
          <w:sz w:val="26"/>
          <w:szCs w:val="26"/>
        </w:rPr>
        <w:t xml:space="preserve"> № </w:t>
      </w:r>
      <w:r w:rsidR="00AC7755" w:rsidRPr="00766948">
        <w:rPr>
          <w:sz w:val="26"/>
          <w:szCs w:val="26"/>
        </w:rPr>
        <w:t>15</w:t>
      </w:r>
      <w:r w:rsidRPr="00766948">
        <w:rPr>
          <w:sz w:val="26"/>
          <w:szCs w:val="26"/>
        </w:rPr>
        <w:t>-</w:t>
      </w:r>
      <w:r w:rsidR="00AC7755" w:rsidRPr="00766948">
        <w:rPr>
          <w:sz w:val="26"/>
          <w:szCs w:val="26"/>
        </w:rPr>
        <w:t>68р, руководствуясь Уставом города Зеленогорска,</w:t>
      </w:r>
      <w:r w:rsidRPr="00766948">
        <w:rPr>
          <w:sz w:val="26"/>
          <w:szCs w:val="26"/>
        </w:rPr>
        <w:t xml:space="preserve"> </w:t>
      </w:r>
    </w:p>
    <w:p w:rsidR="004D0E14" w:rsidRPr="00C1723A" w:rsidRDefault="004D0E14" w:rsidP="004D0E14">
      <w:pPr>
        <w:ind w:firstLine="720"/>
        <w:jc w:val="both"/>
        <w:rPr>
          <w:sz w:val="24"/>
          <w:szCs w:val="24"/>
        </w:rPr>
      </w:pPr>
    </w:p>
    <w:p w:rsidR="004D0E14" w:rsidRPr="00766948" w:rsidRDefault="004D0E14" w:rsidP="004D0E14">
      <w:pPr>
        <w:ind w:firstLine="720"/>
        <w:jc w:val="both"/>
        <w:rPr>
          <w:sz w:val="26"/>
          <w:szCs w:val="26"/>
        </w:rPr>
      </w:pPr>
      <w:r w:rsidRPr="00766948">
        <w:rPr>
          <w:sz w:val="26"/>
          <w:szCs w:val="26"/>
        </w:rPr>
        <w:t>ПОСТАНОВЛЯЮ:</w:t>
      </w:r>
    </w:p>
    <w:p w:rsidR="004D0E14" w:rsidRPr="00C1723A" w:rsidRDefault="004D0E14" w:rsidP="004D0E14">
      <w:pPr>
        <w:ind w:firstLine="720"/>
        <w:jc w:val="both"/>
        <w:rPr>
          <w:sz w:val="24"/>
          <w:szCs w:val="24"/>
        </w:rPr>
      </w:pPr>
    </w:p>
    <w:p w:rsidR="00C1723A" w:rsidRDefault="00D25FEF" w:rsidP="00D25FE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</w:t>
      </w:r>
      <w:r w:rsidRPr="00E46016">
        <w:rPr>
          <w:color w:val="000000" w:themeColor="text1"/>
          <w:sz w:val="26"/>
          <w:szCs w:val="26"/>
        </w:rPr>
        <w:t xml:space="preserve">постановление Администрации ЗАТО г. Зеленогорска от 12.11.2021 № 165-п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 </w:t>
      </w:r>
      <w:r w:rsidR="00C1723A">
        <w:rPr>
          <w:color w:val="000000" w:themeColor="text1"/>
          <w:sz w:val="26"/>
          <w:szCs w:val="26"/>
        </w:rPr>
        <w:t xml:space="preserve">следующие </w:t>
      </w:r>
      <w:r w:rsidRPr="00E46016">
        <w:rPr>
          <w:sz w:val="26"/>
          <w:szCs w:val="26"/>
        </w:rPr>
        <w:t>изменения</w:t>
      </w:r>
      <w:r w:rsidR="00C1723A">
        <w:rPr>
          <w:sz w:val="26"/>
          <w:szCs w:val="26"/>
        </w:rPr>
        <w:t>:</w:t>
      </w:r>
    </w:p>
    <w:p w:rsidR="00C1723A" w:rsidRDefault="00C1723A" w:rsidP="00C1723A">
      <w:pPr>
        <w:pStyle w:val="a9"/>
        <w:widowControl/>
        <w:numPr>
          <w:ilvl w:val="1"/>
          <w:numId w:val="46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пунктах 5 и 7 слова «ЗАТО г. Зеленогорска» заменить словами «ЗАТО г. Зеленогорск».</w:t>
      </w:r>
    </w:p>
    <w:p w:rsidR="00D25FEF" w:rsidRPr="00C1723A" w:rsidRDefault="00C1723A" w:rsidP="00C1723A">
      <w:pPr>
        <w:pStyle w:val="a9"/>
        <w:widowControl/>
        <w:numPr>
          <w:ilvl w:val="1"/>
          <w:numId w:val="46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25FEF" w:rsidRPr="00C1723A">
        <w:rPr>
          <w:sz w:val="26"/>
          <w:szCs w:val="26"/>
        </w:rPr>
        <w:t xml:space="preserve">риложение № 1 </w:t>
      </w:r>
      <w:r>
        <w:rPr>
          <w:sz w:val="26"/>
          <w:szCs w:val="26"/>
        </w:rPr>
        <w:t xml:space="preserve">изложить </w:t>
      </w:r>
      <w:r w:rsidR="00D25FEF" w:rsidRPr="00C1723A">
        <w:rPr>
          <w:sz w:val="26"/>
          <w:szCs w:val="26"/>
        </w:rPr>
        <w:t>в редакции согласно приложению к настоящему постановлению.</w:t>
      </w:r>
    </w:p>
    <w:p w:rsidR="00D25FEF" w:rsidRPr="00E46016" w:rsidRDefault="00D25FEF" w:rsidP="00D25FE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C1723A">
        <w:rPr>
          <w:sz w:val="26"/>
          <w:szCs w:val="26"/>
        </w:rPr>
        <w:t>ш</w:t>
      </w:r>
      <w:r w:rsidRPr="00E46016">
        <w:rPr>
          <w:sz w:val="26"/>
          <w:szCs w:val="26"/>
        </w:rPr>
        <w:t xml:space="preserve">ие с </w:t>
      </w:r>
      <w:r w:rsidR="00A6087D">
        <w:rPr>
          <w:sz w:val="26"/>
          <w:szCs w:val="26"/>
        </w:rPr>
        <w:t>27</w:t>
      </w:r>
      <w:r w:rsidR="003B73EE">
        <w:rPr>
          <w:sz w:val="26"/>
          <w:szCs w:val="26"/>
        </w:rPr>
        <w:t>.</w:t>
      </w:r>
      <w:r w:rsidR="00A6087D">
        <w:rPr>
          <w:sz w:val="26"/>
          <w:szCs w:val="26"/>
        </w:rPr>
        <w:t>1</w:t>
      </w:r>
      <w:r w:rsidR="003B73EE">
        <w:rPr>
          <w:sz w:val="26"/>
          <w:szCs w:val="26"/>
        </w:rPr>
        <w:t>0</w:t>
      </w:r>
      <w:r w:rsidRPr="00E46016">
        <w:rPr>
          <w:sz w:val="26"/>
          <w:szCs w:val="26"/>
        </w:rPr>
        <w:t>.2022.</w:t>
      </w:r>
    </w:p>
    <w:p w:rsidR="00ED066B" w:rsidRPr="00766948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0F3033" w:rsidRDefault="000F3033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2C23A1" w:rsidRPr="00766948" w:rsidRDefault="002C23A1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334DFF" w:rsidRPr="00766948" w:rsidRDefault="00334DFF" w:rsidP="00334DFF">
      <w:pPr>
        <w:rPr>
          <w:sz w:val="26"/>
          <w:szCs w:val="26"/>
        </w:rPr>
      </w:pPr>
      <w:r w:rsidRPr="00766948">
        <w:rPr>
          <w:sz w:val="26"/>
          <w:szCs w:val="26"/>
        </w:rPr>
        <w:t>Глав</w:t>
      </w:r>
      <w:r w:rsidR="000F3033" w:rsidRPr="00766948">
        <w:rPr>
          <w:sz w:val="26"/>
          <w:szCs w:val="26"/>
        </w:rPr>
        <w:t>а</w:t>
      </w:r>
      <w:r w:rsidRPr="00766948">
        <w:rPr>
          <w:sz w:val="26"/>
          <w:szCs w:val="26"/>
        </w:rPr>
        <w:t xml:space="preserve"> ЗАТО г. Зеленогорск</w:t>
      </w:r>
      <w:r w:rsidR="00EB570B" w:rsidRPr="00766948">
        <w:rPr>
          <w:sz w:val="26"/>
          <w:szCs w:val="26"/>
        </w:rPr>
        <w:tab/>
      </w:r>
      <w:r w:rsidR="00EB570B" w:rsidRPr="00766948">
        <w:rPr>
          <w:sz w:val="26"/>
          <w:szCs w:val="26"/>
        </w:rPr>
        <w:tab/>
      </w:r>
      <w:r w:rsidR="00EB570B" w:rsidRPr="00766948">
        <w:rPr>
          <w:sz w:val="26"/>
          <w:szCs w:val="26"/>
        </w:rPr>
        <w:tab/>
        <w:t xml:space="preserve">  </w:t>
      </w:r>
      <w:r w:rsidR="0005042D" w:rsidRPr="00766948">
        <w:rPr>
          <w:sz w:val="26"/>
          <w:szCs w:val="26"/>
        </w:rPr>
        <w:t xml:space="preserve">              </w:t>
      </w:r>
      <w:r w:rsidR="009D1D95" w:rsidRPr="00766948">
        <w:rPr>
          <w:sz w:val="26"/>
          <w:szCs w:val="26"/>
        </w:rPr>
        <w:t xml:space="preserve">     </w:t>
      </w:r>
      <w:r w:rsidR="0005042D" w:rsidRPr="00766948">
        <w:rPr>
          <w:sz w:val="26"/>
          <w:szCs w:val="26"/>
        </w:rPr>
        <w:t xml:space="preserve">    </w:t>
      </w:r>
      <w:r w:rsidR="000F3033" w:rsidRPr="00766948">
        <w:rPr>
          <w:sz w:val="26"/>
          <w:szCs w:val="26"/>
        </w:rPr>
        <w:t xml:space="preserve"> </w:t>
      </w:r>
      <w:r w:rsidR="00755E9A" w:rsidRPr="00766948">
        <w:rPr>
          <w:sz w:val="26"/>
          <w:szCs w:val="26"/>
        </w:rPr>
        <w:t xml:space="preserve">     </w:t>
      </w:r>
      <w:r w:rsidR="008A16C4">
        <w:rPr>
          <w:sz w:val="26"/>
          <w:szCs w:val="26"/>
        </w:rPr>
        <w:t xml:space="preserve">    </w:t>
      </w:r>
      <w:r w:rsidR="00755E9A" w:rsidRPr="00766948">
        <w:rPr>
          <w:sz w:val="26"/>
          <w:szCs w:val="26"/>
        </w:rPr>
        <w:t xml:space="preserve"> </w:t>
      </w:r>
      <w:r w:rsidR="000F3033" w:rsidRPr="00766948">
        <w:rPr>
          <w:sz w:val="26"/>
          <w:szCs w:val="26"/>
        </w:rPr>
        <w:t xml:space="preserve"> М</w:t>
      </w:r>
      <w:r w:rsidR="00EB570B" w:rsidRPr="00766948">
        <w:rPr>
          <w:sz w:val="26"/>
          <w:szCs w:val="26"/>
        </w:rPr>
        <w:t xml:space="preserve">.В. </w:t>
      </w:r>
      <w:r w:rsidR="000F3033" w:rsidRPr="00766948">
        <w:rPr>
          <w:sz w:val="26"/>
          <w:szCs w:val="26"/>
        </w:rPr>
        <w:t>Сперанский</w:t>
      </w:r>
    </w:p>
    <w:p w:rsidR="00926AC6" w:rsidRPr="00766948" w:rsidRDefault="00926AC6" w:rsidP="00926AC6">
      <w:pPr>
        <w:widowControl/>
        <w:autoSpaceDE/>
        <w:autoSpaceDN/>
        <w:adjustRightInd/>
        <w:jc w:val="right"/>
        <w:rPr>
          <w:sz w:val="26"/>
          <w:szCs w:val="26"/>
        </w:rPr>
        <w:sectPr w:rsidR="00926AC6" w:rsidRPr="00766948" w:rsidSect="00F31F66">
          <w:footerReference w:type="default" r:id="rId11"/>
          <w:footerReference w:type="first" r:id="rId12"/>
          <w:pgSz w:w="11906" w:h="16838"/>
          <w:pgMar w:top="993" w:right="850" w:bottom="426" w:left="1701" w:header="708" w:footer="23" w:gutter="0"/>
          <w:cols w:space="708"/>
          <w:titlePg/>
          <w:docGrid w:linePitch="360"/>
        </w:sect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B812AF">
        <w:rPr>
          <w:sz w:val="24"/>
          <w:szCs w:val="24"/>
        </w:rPr>
        <w:t xml:space="preserve">27.10.2022 </w:t>
      </w:r>
      <w:r w:rsidRPr="00926AC6">
        <w:rPr>
          <w:sz w:val="24"/>
          <w:szCs w:val="24"/>
        </w:rPr>
        <w:t xml:space="preserve"> № </w:t>
      </w:r>
      <w:r w:rsidR="00B812AF">
        <w:rPr>
          <w:sz w:val="24"/>
          <w:szCs w:val="24"/>
        </w:rPr>
        <w:t>160-п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  <w:r w:rsidR="00126F74">
        <w:rPr>
          <w:sz w:val="24"/>
          <w:szCs w:val="24"/>
        </w:rPr>
        <w:t>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>от 12.11.2021 № 165-п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926AC6" w:rsidRPr="00926AC6" w:rsidRDefault="00926AC6" w:rsidP="00926AC6">
      <w:pPr>
        <w:widowControl/>
        <w:autoSpaceDE/>
        <w:autoSpaceDN/>
        <w:adjustRightInd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926AC6" w:rsidRPr="00926AC6" w:rsidRDefault="00926AC6" w:rsidP="00336754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77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3320"/>
        <w:gridCol w:w="9564"/>
        <w:gridCol w:w="6624"/>
      </w:tblGrid>
      <w:tr w:rsidR="00926AC6" w:rsidRPr="00926AC6" w:rsidTr="00336754">
        <w:trPr>
          <w:gridAfter w:val="1"/>
          <w:wAfter w:w="1550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7C1B10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г.Зеленогорск</w:t>
            </w:r>
            <w:r w:rsidR="007C1B10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1 16 09040 04 0000 140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2 02 15001 04 0000 150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2 02 20299 04 0000 150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аварийного жилищного фонда с учетом необходимости развития малоэтажного            жилищного строительства, за счет средств, поступивших от государственной              корпорации – Фонда содействия реформированию жилищно-коммунального хозяйства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2 02 20302 04 0000 150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       аварийного жилищного фонда с учетом необходимости развития малоэтажного                    жилищного строительства, за счет средств бюджетов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2 02 25169 04 0000 150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                          расположенных в сельской местности и малых городах, в рамках подпрограммы              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2 02 25173 04 0000 150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создание детских технопарков                     «Кванториум»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2 02 25304 04 0000 150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                 муниципальных образовательных организациях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202 25497 04 0000 150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2 02 25519 04 0000 150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2 02 25555 04 0000 150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CF5AF7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jc w:val="center"/>
              <w:rPr>
                <w:sz w:val="24"/>
                <w:szCs w:val="24"/>
              </w:rPr>
            </w:pPr>
            <w:r w:rsidRPr="00CF5AF7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rPr>
                <w:spacing w:val="-5"/>
                <w:sz w:val="24"/>
                <w:szCs w:val="24"/>
              </w:rPr>
            </w:pPr>
            <w:r w:rsidRPr="00CF5AF7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F5AF7">
              <w:rPr>
                <w:spacing w:val="-5"/>
                <w:sz w:val="24"/>
                <w:szCs w:val="24"/>
              </w:rPr>
              <w:t>02 25750 04 0000 150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jc w:val="both"/>
              <w:rPr>
                <w:bCs/>
                <w:sz w:val="24"/>
                <w:szCs w:val="24"/>
              </w:rPr>
            </w:pPr>
            <w:r w:rsidRPr="00CF5AF7">
              <w:rPr>
                <w:bCs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F31F66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02 29999 04 2650 150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bCs/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63B6B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02 29999 04 2654 150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            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             оздоровительных лагерей, оказанных на договорной основе, в случае отсутствия в             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             государственной программы Красноярского края «Развитие образования»</w:t>
            </w:r>
          </w:p>
        </w:tc>
      </w:tr>
      <w:tr w:rsidR="00A6087D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A6087D" w:rsidP="00A608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A6087D" w:rsidP="00A608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</w:t>
            </w:r>
            <w:r>
              <w:rPr>
                <w:sz w:val="24"/>
                <w:szCs w:val="24"/>
              </w:rPr>
              <w:t>8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5E533F" w:rsidP="00A608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5E533F">
              <w:rPr>
                <w:sz w:val="24"/>
                <w:szCs w:val="24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2 02 29999 04 7413 150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муниципальных образований Красноярского края в рамках подпрограммы                       «Предупреждение, спасение, помощь населению в чрезвычайных ситуациях»                   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02 29999 04 7436 150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02 29999 04 7437 150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2 02 29999 04 7451 150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     подпрограммы «Благоустройство дворовых и общественных территорий муниципальных         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C63B6B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02 29999 04 7476 150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C63B6B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 w:rsidR="00F31F66"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02 29999 04 7482 150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           государственной программы Красноярского края «Развитие культуры и туризма»</w:t>
            </w:r>
          </w:p>
        </w:tc>
      </w:tr>
      <w:tr w:rsidR="006503B2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</w:t>
            </w:r>
            <w:r>
              <w:rPr>
                <w:sz w:val="24"/>
                <w:szCs w:val="24"/>
              </w:rPr>
              <w:t>97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6503B2">
              <w:rPr>
                <w:sz w:val="24"/>
                <w:szCs w:val="24"/>
              </w:rPr>
              <w:t>Субсидии бюджетам муниципальных образований на мероприятия в области обеспечения капитального ремонта, реконструкции и строительства гидротехнических сооружений в рамках подпрограммы «Использование и охрана водных ресурсов»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      автомобильных дорог общего пользования местного значения за счет средств              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C63B6B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02 29999 04 7553 150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6503B2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02 29999 04 755</w:t>
            </w:r>
            <w:r>
              <w:rPr>
                <w:spacing w:val="-5"/>
                <w:sz w:val="24"/>
                <w:szCs w:val="24"/>
              </w:rPr>
              <w:t>9</w:t>
            </w:r>
            <w:r w:rsidRPr="00C63B6B">
              <w:rPr>
                <w:spacing w:val="-5"/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jc w:val="both"/>
              <w:rPr>
                <w:bCs/>
                <w:sz w:val="24"/>
                <w:szCs w:val="24"/>
              </w:rPr>
            </w:pPr>
            <w:r w:rsidRPr="006503B2">
              <w:rPr>
                <w:bCs/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2 02 29999 04 7563 150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                     образования» государственной программы Красноярского края «Развитие образования»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02 29999 04 7571 150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2 02 29999 04 7607 150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6503B2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</w:t>
            </w:r>
            <w:r>
              <w:rPr>
                <w:sz w:val="24"/>
                <w:szCs w:val="24"/>
              </w:rPr>
              <w:t>68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462D88" w:rsidP="006503B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2 02 30024 04 0289 150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            поддержки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                соответствии с федеральными государственными образовательными стандартами, в рамках подпрограммы «Развитие дошкольного, общего и дополнительного                 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     общего, основного общего, среднего общего образования в муниципальных  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в части обеспечения деятельности       административно-хозяйственного, учебно-вспомогательного персонала и иных                категорий работников образовательных организаций, участвующих в реализации            общеобразовательных программ в соответствии с федеральными государственными     образовательными стандартами, в рамках подпрограммы «Развитие дошкольного,       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2 02 30024 04 7429 150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              Законом края от 30 января 2014 года № 6-2056) по министерству экономики и                   регионального развития Красноярского края в рамках непрограммных расходов               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                     непрограммных расходов органов судебной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            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                туберкулезной интоксикацией, обучающимися в муниципальных образовательных      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                дополнительного образования» государственной программы Красноярского края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за исключением обеспечения               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2 02 30024 04 7570 150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                   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           детей-сирот и детей, оставшихся без попечения родителей, и достигли возраста 23 лет (в соответствии с Законом края от 24 декабря 2009 года № 9-4225) в рамках                        подпрограммы «Улучшение жилищных условий отдельных категорий граждан»                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          образовательных организаций, участвующих в реализации общеобразовательных             программ в соответствии с федеральными государственными образовательными               стандартами, в рамках подпрограммы «Развитие дошкольного, общего и                                дополнительного образования» государственной программы Красноярского края 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2 02 30024 04 7604 150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                   несовершеннолетних и защите их прав (в соответствии с Законом края от 26 декабря 2006 года № 21-5589) по министерству финансов Красноярского края в рамках         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2 02 30024 04 7649 150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                     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2 02 30024 04 7846 150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             программы Красноярского края «Создание условий для обеспечения доступным и            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   образовательные организации, реализующие образовательные программы дошкольного образования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2 02 35120 04 0000 150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2 02 45303 04 0000 150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           ежемесячное денежное вознаграждение за классное руководство педагогическим         работникам государственных и муниципальных общеобразовательных организаций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2 02 45453 04 0000 150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462D88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202 49999 04 </w:t>
            </w:r>
            <w:r>
              <w:rPr>
                <w:sz w:val="24"/>
                <w:szCs w:val="24"/>
              </w:rPr>
              <w:t>1034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расходных обязательств муниципальных образований, связанных с увеличением с 1 июня 2022 года региональных выплат,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926AC6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202 49999 04 7418 150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5A346F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BD3A51">
              <w:rPr>
                <w:spacing w:val="-5"/>
                <w:sz w:val="24"/>
                <w:szCs w:val="24"/>
              </w:rPr>
              <w:t>202 49999 04 7555 150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 xml:space="preserve">Иные межбюджетные трансферты бюджетам муниципальных образований на </w:t>
            </w:r>
            <w:r>
              <w:rPr>
                <w:sz w:val="24"/>
                <w:szCs w:val="24"/>
              </w:rPr>
              <w:t xml:space="preserve">                  </w:t>
            </w:r>
            <w:r w:rsidRPr="00BD3A51">
              <w:rPr>
                <w:sz w:val="24"/>
                <w:szCs w:val="24"/>
              </w:rPr>
              <w:t xml:space="preserve">реализацию мероприятий по профилактике заболеваний путем организации и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BD3A51">
              <w:rPr>
                <w:sz w:val="24"/>
                <w:szCs w:val="24"/>
              </w:rPr>
              <w:t xml:space="preserve">проведения акарицидных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D3A51">
              <w:rPr>
                <w:sz w:val="24"/>
                <w:szCs w:val="24"/>
              </w:rPr>
              <w:t>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462D88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BD3A51">
              <w:rPr>
                <w:spacing w:val="-5"/>
                <w:sz w:val="24"/>
                <w:szCs w:val="24"/>
              </w:rPr>
              <w:t>202 49999 04 7</w:t>
            </w:r>
            <w:r>
              <w:rPr>
                <w:spacing w:val="-5"/>
                <w:sz w:val="24"/>
                <w:szCs w:val="24"/>
              </w:rPr>
              <w:t>744</w:t>
            </w:r>
            <w:r w:rsidRPr="00BD3A51">
              <w:rPr>
                <w:spacing w:val="-5"/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926AC6" w:rsidRPr="00926AC6" w:rsidTr="00462D88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462D88" w:rsidRPr="00926AC6" w:rsidTr="00C1723A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2 19 </w:t>
            </w:r>
            <w:r>
              <w:rPr>
                <w:sz w:val="24"/>
                <w:szCs w:val="24"/>
              </w:rPr>
              <w:t>25304</w:t>
            </w:r>
            <w:r w:rsidRPr="00926AC6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462D88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2 19 60010 04 0000 150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  посягающие на общественный порядок и общественную безопасность, налагаемые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Зеленогорска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1 08 07173 01 1000 110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                         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C76E10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Зеленогорска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    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A9544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         контрактом, заключенным муниципальным органом, казенным учреждением                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               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     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227.1 и 228 Налогового кодекса         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      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               соответствии со статьей 227.1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            компании, в том числе фиксированной прибыли контролируемой иностранной                 компании)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области охраны окружающей среды и природопользования, налагаемые мировыми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   промышленности, строительстве и энергетике, налагаемые мировыми судьями,         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          организаций, налагаемые мировыми судьями, комиссиями по делам              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       области финансов, налогов и сборов, страхования, рынка ценных бумаг (за                  исключением штрафов, указанных в пункте 6 статьи 46 Бюджетного кодекса               Российской Федерации), налагаемые мировыми судьями, комиссиями по делам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         области таможенного дела (нарушение таможенных правил), налагаемые мировыми   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посягающие на общественный порядок и общественную безопасность, налагаемые    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A9544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A9544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города Зеленогорск</w:t>
            </w:r>
            <w:r w:rsidR="0076694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36754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Зеленогорска</w:t>
            </w:r>
          </w:p>
        </w:tc>
        <w:tc>
          <w:tcPr>
            <w:tcW w:w="1550" w:type="pct"/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государственная собственность на которые не                  разграничена и которые расположены в границах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находящихся в собственности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      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Финансовое управление</w:t>
      </w: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Администрации ЗАТО г.Зеленогорска</w:t>
      </w: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</w:p>
    <w:p w:rsidR="00336754" w:rsidRPr="00926AC6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______________ Н.Г. Малышева</w:t>
      </w:r>
    </w:p>
    <w:sectPr w:rsidR="00336754" w:rsidRPr="00926AC6" w:rsidSect="00336754">
      <w:pgSz w:w="16838" w:h="11906" w:orient="landscape" w:code="9"/>
      <w:pgMar w:top="1276" w:right="1134" w:bottom="851" w:left="142" w:header="709" w:footer="23" w:gutter="0"/>
      <w:lnNumType w:countBy="1" w:start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3A" w:rsidRDefault="00C1723A">
      <w:r>
        <w:separator/>
      </w:r>
    </w:p>
  </w:endnote>
  <w:endnote w:type="continuationSeparator" w:id="0">
    <w:p w:rsidR="00C1723A" w:rsidRDefault="00C1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88032"/>
      <w:docPartObj>
        <w:docPartGallery w:val="Page Numbers (Bottom of Page)"/>
        <w:docPartUnique/>
      </w:docPartObj>
    </w:sdtPr>
    <w:sdtEndPr/>
    <w:sdtContent>
      <w:p w:rsidR="00C1723A" w:rsidRDefault="00C172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AF">
          <w:rPr>
            <w:noProof/>
          </w:rPr>
          <w:t>28</w:t>
        </w:r>
        <w:r>
          <w:fldChar w:fldCharType="end"/>
        </w:r>
      </w:p>
    </w:sdtContent>
  </w:sdt>
  <w:p w:rsidR="00C1723A" w:rsidRPr="005E69C2" w:rsidRDefault="00C1723A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3A" w:rsidRDefault="00C1723A">
    <w:pPr>
      <w:pStyle w:val="a6"/>
    </w:pPr>
  </w:p>
  <w:p w:rsidR="00C1723A" w:rsidRDefault="00C172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3A" w:rsidRDefault="00C1723A">
      <w:r>
        <w:separator/>
      </w:r>
    </w:p>
  </w:footnote>
  <w:footnote w:type="continuationSeparator" w:id="0">
    <w:p w:rsidR="00C1723A" w:rsidRDefault="00C1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042D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77A9"/>
    <w:rsid w:val="00115620"/>
    <w:rsid w:val="00117CD7"/>
    <w:rsid w:val="001202DD"/>
    <w:rsid w:val="00123802"/>
    <w:rsid w:val="00126F74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34897"/>
    <w:rsid w:val="00250504"/>
    <w:rsid w:val="00252D14"/>
    <w:rsid w:val="00255A25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23A1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615FE"/>
    <w:rsid w:val="0046282E"/>
    <w:rsid w:val="00462D88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D0E14"/>
    <w:rsid w:val="004D3677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6F41"/>
    <w:rsid w:val="00577E47"/>
    <w:rsid w:val="005823CA"/>
    <w:rsid w:val="00590631"/>
    <w:rsid w:val="005A346F"/>
    <w:rsid w:val="005A669A"/>
    <w:rsid w:val="005A6A70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7250"/>
    <w:rsid w:val="005E09BB"/>
    <w:rsid w:val="005E50C9"/>
    <w:rsid w:val="005E533F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37A5A"/>
    <w:rsid w:val="00740B68"/>
    <w:rsid w:val="00744FD5"/>
    <w:rsid w:val="00750567"/>
    <w:rsid w:val="0075078B"/>
    <w:rsid w:val="0075198D"/>
    <w:rsid w:val="00755E9A"/>
    <w:rsid w:val="00756E8E"/>
    <w:rsid w:val="0075735C"/>
    <w:rsid w:val="00760F49"/>
    <w:rsid w:val="00766948"/>
    <w:rsid w:val="00790C3D"/>
    <w:rsid w:val="0079555D"/>
    <w:rsid w:val="00796883"/>
    <w:rsid w:val="00796F78"/>
    <w:rsid w:val="007A3FBD"/>
    <w:rsid w:val="007A58A5"/>
    <w:rsid w:val="007B1FCB"/>
    <w:rsid w:val="007C15B2"/>
    <w:rsid w:val="007C1B10"/>
    <w:rsid w:val="007C5B4E"/>
    <w:rsid w:val="007D1651"/>
    <w:rsid w:val="007D3873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6AC6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4C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13F3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12AF"/>
    <w:rsid w:val="00B86BBA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1723A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3B6B"/>
    <w:rsid w:val="00C65A32"/>
    <w:rsid w:val="00C668F5"/>
    <w:rsid w:val="00C66CF1"/>
    <w:rsid w:val="00C7200C"/>
    <w:rsid w:val="00C764CA"/>
    <w:rsid w:val="00C76E10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CF5AF7"/>
    <w:rsid w:val="00D018C4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50940"/>
    <w:rsid w:val="00D55682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016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70B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6B26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1F66"/>
    <w:rsid w:val="00F32118"/>
    <w:rsid w:val="00F453ED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B0D2DA33562783D1EBFDFBA55FEE80DF2E7C8194F95F550831FF9DA58AA5D6F68735C2D4032ICz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F2F7-76AB-4545-9E74-6B948D50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30</Pages>
  <Words>7084</Words>
  <Characters>53156</Characters>
  <Application>Microsoft Office Word</Application>
  <DocSecurity>0</DocSecurity>
  <Lines>442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Мещерякова Наталья Рахимжановна</cp:lastModifiedBy>
  <cp:revision>37</cp:revision>
  <cp:lastPrinted>2022-06-15T04:17:00Z</cp:lastPrinted>
  <dcterms:created xsi:type="dcterms:W3CDTF">2020-09-03T02:54:00Z</dcterms:created>
  <dcterms:modified xsi:type="dcterms:W3CDTF">2022-10-31T02:40:00Z</dcterms:modified>
</cp:coreProperties>
</file>