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FD59BC">
        <w:rPr>
          <w:b/>
        </w:rPr>
        <w:t>12</w:t>
      </w:r>
      <w:r w:rsidRPr="00C301B5">
        <w:rPr>
          <w:b/>
        </w:rPr>
        <w:t>.</w:t>
      </w:r>
      <w:r w:rsidR="00FD59BC">
        <w:rPr>
          <w:b/>
        </w:rPr>
        <w:t>07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916"/>
        <w:gridCol w:w="1622"/>
        <w:gridCol w:w="1034"/>
      </w:tblGrid>
      <w:tr w:rsidR="00CF4C1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</w:tr>
      <w:tr w:rsidR="00CF4C1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Default="00CF4C1F" w:rsidP="00CF4C1F">
            <w:pPr>
              <w:jc w:val="center"/>
              <w:rPr>
                <w:sz w:val="16"/>
                <w:szCs w:val="16"/>
              </w:rPr>
            </w:pPr>
          </w:p>
        </w:tc>
      </w:tr>
      <w:tr w:rsidR="00D01A5C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D7424E" w:rsidRDefault="00D01A5C" w:rsidP="0046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3020F" w:rsidRDefault="00D01A5C" w:rsidP="004609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C3020F">
              <w:rPr>
                <w:sz w:val="14"/>
                <w:szCs w:val="14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3020F" w:rsidRDefault="00D01A5C" w:rsidP="0046091D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автомагазин</w:t>
            </w:r>
          </w:p>
          <w:p w:rsidR="00D01A5C" w:rsidRPr="00C3020F" w:rsidRDefault="00D01A5C" w:rsidP="0046091D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3020F" w:rsidRDefault="00D01A5C" w:rsidP="0046091D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 xml:space="preserve">район </w:t>
            </w:r>
          </w:p>
          <w:p w:rsidR="00D01A5C" w:rsidRPr="00C3020F" w:rsidRDefault="00D01A5C" w:rsidP="0046091D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ул.</w:t>
            </w:r>
            <w:r>
              <w:rPr>
                <w:sz w:val="14"/>
                <w:szCs w:val="14"/>
              </w:rPr>
              <w:t xml:space="preserve"> Энергетиков, 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3020F" w:rsidRDefault="00D01A5C" w:rsidP="0046091D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3020F" w:rsidRDefault="00D01A5C" w:rsidP="004609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1416E" w:rsidRDefault="00D01A5C" w:rsidP="0046091D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 xml:space="preserve">торговля </w:t>
            </w:r>
            <w:proofErr w:type="gramStart"/>
            <w:r w:rsidRPr="00C1416E">
              <w:rPr>
                <w:sz w:val="12"/>
                <w:szCs w:val="12"/>
              </w:rPr>
              <w:t>продовольственными</w:t>
            </w:r>
            <w:proofErr w:type="gramEnd"/>
          </w:p>
          <w:p w:rsidR="00D01A5C" w:rsidRPr="00C1416E" w:rsidRDefault="00D01A5C" w:rsidP="0046091D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товарами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1416E" w:rsidRDefault="00D01A5C" w:rsidP="0046091D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безалкогольные напитки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D01A5C" w:rsidRPr="00C1416E" w:rsidRDefault="00D01A5C" w:rsidP="0046091D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D01A5C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3 937,02</w:t>
            </w:r>
          </w:p>
        </w:tc>
        <w:tc>
          <w:tcPr>
            <w:tcW w:w="1899" w:type="dxa"/>
          </w:tcPr>
          <w:p w:rsidR="00866D38" w:rsidRPr="00866D38" w:rsidRDefault="00D01A5C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3 937,02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Pr="00B23A9E">
        <w:t>автомагазин</w:t>
      </w:r>
      <w:r w:rsidR="001F1619">
        <w:t>а</w:t>
      </w:r>
      <w:r w:rsidRPr="00B23A9E">
        <w:t xml:space="preserve"> </w:t>
      </w:r>
      <w:r w:rsidR="001F1619">
        <w:t>(передвижной торговой точки</w:t>
      </w:r>
      <w:r w:rsidRPr="00B23A9E">
        <w:t>)</w:t>
      </w:r>
      <w:r>
        <w:t xml:space="preserve"> составляет 12 месяцев.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82461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D01A5C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3 937,02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FD59BC">
        <w:t>12.07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FD59BC">
        <w:rPr>
          <w:b/>
          <w:u w:val="single"/>
        </w:rPr>
        <w:t>09.06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FD59BC">
        <w:rPr>
          <w:b/>
          <w:u w:val="single"/>
        </w:rPr>
        <w:t>04</w:t>
      </w:r>
      <w:r w:rsidRPr="00312409">
        <w:rPr>
          <w:b/>
          <w:u w:val="single"/>
        </w:rPr>
        <w:t>.</w:t>
      </w:r>
      <w:r w:rsidR="00FD59BC">
        <w:rPr>
          <w:b/>
          <w:u w:val="single"/>
        </w:rPr>
        <w:t>07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FD59BC">
        <w:rPr>
          <w:b/>
          <w:u w:val="single"/>
        </w:rPr>
        <w:t>07.07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FD59BC">
        <w:t>12.07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Pr="00DE0167" w:rsidRDefault="00E66057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DF98955" wp14:editId="69167BEF">
            <wp:simplePos x="0" y="0"/>
            <wp:positionH relativeFrom="column">
              <wp:posOffset>3638550</wp:posOffset>
            </wp:positionH>
            <wp:positionV relativeFrom="paragraph">
              <wp:posOffset>59055</wp:posOffset>
            </wp:positionV>
            <wp:extent cx="1821180" cy="651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тарино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BC">
        <w:rPr>
          <w:rFonts w:ascii="Times New Roman" w:hAnsi="Times New Roman" w:cs="Times New Roman"/>
          <w:sz w:val="24"/>
          <w:szCs w:val="24"/>
        </w:rPr>
        <w:t>Н</w:t>
      </w:r>
      <w:r w:rsidR="00CF4C1F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FD59BC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FD59B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F4C1F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CF4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FD59BC">
        <w:rPr>
          <w:b/>
        </w:rPr>
        <w:t>12.07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FD59BC">
        <w:rPr>
          <w:b/>
        </w:rPr>
        <w:t>12.07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FD59BC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</w:t>
      </w:r>
      <w:r w:rsidR="00B823B0">
        <w:rPr>
          <w:color w:val="auto"/>
        </w:rPr>
        <w:t>А;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</w:t>
      </w:r>
      <w:r w:rsidR="00FD59BC">
        <w:t xml:space="preserve"> Энергетиков, 1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FD59BC">
        <w:rPr>
          <w:color w:val="auto"/>
        </w:rPr>
        <w:t>асти, занимаемая Объектом – 16,2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FD59BC">
        <w:t xml:space="preserve"> торговля продовольственными товарами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>специализация Объекта (при ее наличии) -  безалкогольные напитки;</w:t>
      </w:r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Pr="00FD59BC">
        <w:rPr>
          <w:color w:val="FF0000"/>
        </w:rPr>
        <w:t>составляет 3 105,33</w:t>
      </w:r>
      <w:r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01811109044040000120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lastRenderedPageBreak/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9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lastRenderedPageBreak/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автомагазин (передвижная торговая точка)</w:t>
      </w:r>
      <w:r w:rsidR="00D85097">
        <w:rPr>
          <w:sz w:val="20"/>
          <w:szCs w:val="20"/>
        </w:rPr>
        <w:t xml:space="preserve">  в районе ул.</w:t>
      </w:r>
      <w:r w:rsidR="00FD59BC">
        <w:rPr>
          <w:sz w:val="20"/>
          <w:szCs w:val="20"/>
        </w:rPr>
        <w:t xml:space="preserve"> Энергетиков, 1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FD59BC">
        <w:rPr>
          <w:sz w:val="20"/>
          <w:szCs w:val="20"/>
        </w:rPr>
        <w:t xml:space="preserve"> 3</w:t>
      </w:r>
      <w:r>
        <w:rPr>
          <w:sz w:val="20"/>
          <w:szCs w:val="20"/>
        </w:rPr>
        <w:t>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FD59BC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16,2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096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 в районе ул. Энергетиков, д.1-03ia_c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C97AA1" w:rsidRPr="007C4076" w:rsidRDefault="00C97AA1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5D1AAA" w:rsidP="00F22A14">
            <w:r>
              <w:t>3</w:t>
            </w:r>
            <w:r w:rsidR="00B823B0">
              <w:t>А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5D1AAA" w:rsidP="00F22A14">
            <w:r>
              <w:t>16,2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5D1AAA" w:rsidP="00F22A14">
            <w:r>
              <w:t>0,09</w:t>
            </w:r>
          </w:p>
        </w:tc>
        <w:tc>
          <w:tcPr>
            <w:tcW w:w="1984" w:type="dxa"/>
          </w:tcPr>
          <w:p w:rsidR="00B823B0" w:rsidRPr="007C4076" w:rsidRDefault="00B823B0" w:rsidP="00F22A14">
            <w:r>
              <w:t>1,5</w:t>
            </w:r>
          </w:p>
        </w:tc>
        <w:tc>
          <w:tcPr>
            <w:tcW w:w="1418" w:type="dxa"/>
          </w:tcPr>
          <w:p w:rsidR="00B823B0" w:rsidRPr="007C4076" w:rsidRDefault="005D1AAA" w:rsidP="00F22A14">
            <w:r>
              <w:t>3 937,02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8478BF">
        <w:t xml:space="preserve"> по Договору составляет 3 937</w:t>
      </w:r>
      <w:r>
        <w:t xml:space="preserve"> (</w:t>
      </w:r>
      <w:r w:rsidR="00D85097">
        <w:t xml:space="preserve">три </w:t>
      </w:r>
      <w:r>
        <w:t>тысяч</w:t>
      </w:r>
      <w:r w:rsidR="00D85097">
        <w:t>и</w:t>
      </w:r>
      <w:r w:rsidR="008478BF">
        <w:t xml:space="preserve"> девятьсот  тридцать семь) руб. 02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8478BF">
        <w:t xml:space="preserve">                  1800,19 х 16,2 х 0,09</w:t>
      </w:r>
      <w:r>
        <w:t xml:space="preserve"> х 1,5 = </w:t>
      </w:r>
      <w:r w:rsidR="008478BF">
        <w:t>3 937,02</w:t>
      </w:r>
      <w:r w:rsidRPr="007C4076">
        <w:t xml:space="preserve">  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23B0" w:rsidRPr="0057744C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B823B0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66057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if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2C75-5E1C-4F15-A587-09E8E26D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16</Pages>
  <Words>7826</Words>
  <Characters>44612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Чумичёв Игорь Иванович</cp:lastModifiedBy>
  <cp:revision>134</cp:revision>
  <cp:lastPrinted>2022-06-08T07:55:00Z</cp:lastPrinted>
  <dcterms:created xsi:type="dcterms:W3CDTF">2021-03-08T14:50:00Z</dcterms:created>
  <dcterms:modified xsi:type="dcterms:W3CDTF">2022-06-08T07:56:00Z</dcterms:modified>
</cp:coreProperties>
</file>