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82" w:rsidRDefault="00384A8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4A82" w:rsidRDefault="00384A82">
      <w:pPr>
        <w:pStyle w:val="ConsPlusNormal"/>
        <w:ind w:firstLine="540"/>
        <w:jc w:val="both"/>
        <w:outlineLvl w:val="0"/>
      </w:pPr>
    </w:p>
    <w:p w:rsidR="00384A82" w:rsidRDefault="00384A8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84A82" w:rsidRDefault="00384A82">
      <w:pPr>
        <w:pStyle w:val="ConsPlusTitle"/>
        <w:jc w:val="center"/>
      </w:pPr>
    </w:p>
    <w:p w:rsidR="00384A82" w:rsidRDefault="00384A82">
      <w:pPr>
        <w:pStyle w:val="ConsPlusTitle"/>
        <w:jc w:val="center"/>
      </w:pPr>
      <w:bookmarkStart w:id="0" w:name="_GoBack"/>
      <w:r>
        <w:t>РАСПОРЯЖЕНИЕ</w:t>
      </w:r>
    </w:p>
    <w:p w:rsidR="00384A82" w:rsidRDefault="00384A82">
      <w:pPr>
        <w:pStyle w:val="ConsPlusTitle"/>
        <w:jc w:val="center"/>
      </w:pPr>
      <w:r>
        <w:t>от 17 апреля 2019 г. N 768-р</w:t>
      </w:r>
    </w:p>
    <w:bookmarkEnd w:id="0"/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субъектам естественных монополий руководствоваться положениями </w:t>
      </w:r>
      <w:hyperlink w:anchor="P32" w:history="1">
        <w:r>
          <w:rPr>
            <w:color w:val="0000FF"/>
          </w:rPr>
          <w:t>стандарта</w:t>
        </w:r>
      </w:hyperlink>
      <w:r>
        <w:t xml:space="preserve"> в рамках раскрытия информации </w:t>
      </w:r>
      <w:proofErr w:type="gramStart"/>
      <w:r>
        <w:t>о</w:t>
      </w:r>
      <w:proofErr w:type="gramEnd"/>
      <w:r>
        <w:t xml:space="preserve"> своей деятельности.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3. ФАС России по согласованию с заинтересованными федеральными органами исполнительной власти утвердить методики расчета ключевых показателей развития конкуренции, предусмотренных приложением к </w:t>
      </w:r>
      <w:hyperlink w:anchor="P32" w:history="1">
        <w:r>
          <w:rPr>
            <w:color w:val="0000FF"/>
          </w:rPr>
          <w:t>стандарту</w:t>
        </w:r>
      </w:hyperlink>
      <w:r>
        <w:t>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4. Минэкономразвития России: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образовать межведомственную рабочую группу по вопросам реализации положений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представлять при необходимости в Правительство Российской Федерации в установленном порядке предложения по внесению изменений в стандарт, одобренные межведомственной рабочей группой по вопросам реализации положений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представлять в Правительство Российской Федерации ежегодно, в IV квартале года, следующего за отчетным, доклад о результатах внедрения </w:t>
      </w:r>
      <w:hyperlink w:anchor="P32" w:history="1">
        <w:r>
          <w:rPr>
            <w:color w:val="0000FF"/>
          </w:rPr>
          <w:t>стандарта</w:t>
        </w:r>
      </w:hyperlink>
      <w:r>
        <w:t>, включающий оценку эффективности деятельности органов исполнительной власти субъектов Российской Федерации по его внедрению.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384A82" w:rsidRDefault="00384A82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5 сентября 2015 г. N 1738-р (Собрание законодательства Российской Федерации, 2015, N 37, ст. 5176);</w:t>
      </w:r>
    </w:p>
    <w:p w:rsidR="00384A82" w:rsidRDefault="00384A8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17 сентября 2016 г. N 1969-р (Собрание законодательства Российской Федерации, 2016, N 39, ст. 5702).</w:t>
      </w: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jc w:val="right"/>
      </w:pPr>
      <w:r>
        <w:t>Председатель Правительства</w:t>
      </w:r>
    </w:p>
    <w:p w:rsidR="00384A82" w:rsidRDefault="00384A82">
      <w:pPr>
        <w:pStyle w:val="ConsPlusNormal"/>
        <w:jc w:val="right"/>
      </w:pPr>
      <w:r>
        <w:t>Российской Федерации</w:t>
      </w:r>
    </w:p>
    <w:p w:rsidR="00384A82" w:rsidRDefault="00384A82">
      <w:pPr>
        <w:pStyle w:val="ConsPlusNormal"/>
        <w:jc w:val="right"/>
      </w:pPr>
      <w:r>
        <w:t>Д.МЕДВЕДЕВ</w:t>
      </w: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jc w:val="right"/>
        <w:outlineLvl w:val="0"/>
      </w:pPr>
      <w:r>
        <w:t>Утвержден</w:t>
      </w:r>
    </w:p>
    <w:p w:rsidR="00384A82" w:rsidRDefault="00384A82">
      <w:pPr>
        <w:pStyle w:val="ConsPlusNormal"/>
        <w:jc w:val="right"/>
      </w:pPr>
      <w:r>
        <w:t>распоряжением Правительства</w:t>
      </w:r>
    </w:p>
    <w:p w:rsidR="00384A82" w:rsidRDefault="00384A82">
      <w:pPr>
        <w:pStyle w:val="ConsPlusNormal"/>
        <w:jc w:val="right"/>
      </w:pPr>
      <w:r>
        <w:lastRenderedPageBreak/>
        <w:t>Российской Федерации</w:t>
      </w:r>
    </w:p>
    <w:p w:rsidR="00384A82" w:rsidRDefault="00384A82">
      <w:pPr>
        <w:pStyle w:val="ConsPlusNormal"/>
        <w:jc w:val="right"/>
      </w:pPr>
      <w:r>
        <w:t>от 17 апреля 2019 г. N 768-р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</w:pPr>
      <w:bookmarkStart w:id="1" w:name="P32"/>
      <w:bookmarkEnd w:id="1"/>
      <w:r>
        <w:t>СТАНДАРТ</w:t>
      </w:r>
    </w:p>
    <w:p w:rsidR="00384A82" w:rsidRDefault="00384A82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  <w:outlineLvl w:val="1"/>
      </w:pPr>
      <w:r>
        <w:t>I. Общие положения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 xml:space="preserve">1. Стандарт развития конкуренции в субъектах Российской Федерации (далее соответственно - стандарт, конкуренция) разработан в рамках реализации </w:t>
      </w:r>
      <w:hyperlink r:id="rId8" w:history="1">
        <w:r>
          <w:rPr>
            <w:color w:val="0000FF"/>
          </w:rPr>
          <w:t>пункта 7</w:t>
        </w:r>
      </w:hyperlink>
      <w:r>
        <w:t xml:space="preserve"> и </w:t>
      </w:r>
      <w:hyperlink r:id="rId9" w:history="1">
        <w:r>
          <w:rPr>
            <w:color w:val="0000FF"/>
          </w:rPr>
          <w:t>подпункта "в" пункта 8</w:t>
        </w:r>
      </w:hyperlink>
      <w:r>
        <w:t xml:space="preserve"> Указа Президента Российской Федерации от 21 декабря 2017 г. N 618 "Об основных направлениях государственной политики по развитию конкуренции".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2. Целями стандарта являются: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б) содействие формированию прозрачной системы </w:t>
      </w:r>
      <w:proofErr w:type="gramStart"/>
      <w:r>
        <w:t>работы органов исполнительной власти субъектов Российской Федерации</w:t>
      </w:r>
      <w:proofErr w:type="gramEnd"/>
      <w:r>
        <w:t xml:space="preserve">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поддержание и развитие единого экономического пространства Российской Федерации, рост производительности труда и диверсификация экономики;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повышение доступности финансовых услуг для субъектов экономической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ж) преодоление и минимизация влияния несовершенной конкуренции на инфляцию;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з) содействие каждым субъектом Российской Федерации развитию конкуренции на товарных рынках, определяемых в соответствии с антимонопольным законодательством 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>
        <w:t>Под товарным рынком в стандарте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3. Принципами внедрения стандарта являются: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</w:t>
      </w:r>
      <w:r>
        <w:lastRenderedPageBreak/>
        <w:t>высшее должностное лицо) и органы исполнительной власти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товаров, работ, услуг, участников экономических отношений и общества в</w:t>
      </w:r>
      <w:proofErr w:type="gramEnd"/>
      <w:r>
        <w:t xml:space="preserve"> </w:t>
      </w:r>
      <w:proofErr w:type="gramStart"/>
      <w:r>
        <w:t>целом</w:t>
      </w:r>
      <w:proofErr w:type="gramEnd"/>
      <w:r>
        <w:t>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заинтересованность высшего должностного лица -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системный подход - совершенствование деятельности органов исполнительной власти субъекта Российской Федерации по анализу состояния товарных рынков, поведения хозяйствующих субъектов на указанных рынках, выявленных ожиданий потребителей товаров, работ и услуг, планированию деятельности, а также формированию процессов и систем мониторинга, оценки, контроля и анализа деятельности органов исполнительной власти субъекта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постоянное совершенствование деятельности - повышение удовлетворенности потребителей и других участников экономической деятельности качеством товаров, работ, услуг, обеспечение информационного взаимодействия с потребителями товаров, работ,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прозрачность деятельности - содействие органов исполнительной власти субъекта Российской Федерации в обеспечении открытости и доступности для потребителей товаров, работ,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4. Органами исполнительной власти субъекта Российской Федерации и органами местного самоуправления заключаются соглашения (меморандумы) о внедрении в субъекте Российской Федерации стандарта (далее - соглашения).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В соглашении отражаются положения, определяющие его цели и предмет, описываются порядок, формы и направления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самоуправления. В </w:t>
      </w:r>
      <w:proofErr w:type="gramStart"/>
      <w:r>
        <w:t>рамках</w:t>
      </w:r>
      <w:proofErr w:type="gramEnd"/>
      <w:r>
        <w:t xml:space="preserve"> соглашения органы местного самоуправления оказывают содействие органам исполнительной власти субъекта Российской Федерации при реализации ими стандарта.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Внедрение стандарта осуществляется на основании решения высшего должностного лица и может предусматривать использование проектного подхода, в рамках которого внедрение стандарта является приоритетным проектом органа исполнительной власти субъекта Российской Федерации в соответствии с установленной сферой ведения (далее - ведомственный приоритетный проект), а задачи по содействию развитию конкуренции в субъекте Российской Федерации в целом реализуются в рамках ведомственных приоритетных проектов в составе региональной</w:t>
      </w:r>
      <w:proofErr w:type="gramEnd"/>
      <w:r>
        <w:t xml:space="preserve"> приоритетной программы по внедрению стандарта, утверждаемой высшим должностным лицом.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Внедрение стандарта предполагает определение в органах исполнительной власти субъекта Российской Федерации должностных лиц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("дорожных карт") по содействию развитию конкуренции в подведомственной сфере деятельности с внесением соответствующих обязанностей в должностные регламенты и</w:t>
      </w:r>
      <w:proofErr w:type="gramEnd"/>
      <w:r>
        <w:t xml:space="preserve"> положения о структурных подразделениях.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 xml:space="preserve">Для достижения целей стандарта и соблюдения принципов его внедрения, формирования </w:t>
      </w:r>
      <w:hyperlink w:anchor="P323" w:history="1">
        <w:r>
          <w:rPr>
            <w:color w:val="0000FF"/>
          </w:rPr>
          <w:t>перечня</w:t>
        </w:r>
      </w:hyperlink>
      <w:r>
        <w:t xml:space="preserve"> товарных рынков для содействия развитию конкуренции в субъекте Российской Федерации (далее - перечень товарных рынков), а также для разработки плана мероприятий ("дорожной карты") по содействию развитию конкуренции (далее - "дорожная карта") предполагается ознакомление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</w:t>
      </w:r>
      <w:proofErr w:type="gramEnd"/>
      <w:r>
        <w:t>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Одним из основных средств достижения целей внедрения стандарта является планомерное увеличение финансирования за счет средств бюджетов всех уровней мероприятий, направленных на развитие частного сектора экономики, при одновременном сокращении бюджетных расходов в рыночных отраслях (сферах) экономики.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интернет-портале об инвестиционной деятельности в субъекте Российской Федерации не реже чем раз в квартал размещаются информация и документы, касающиеся внедрения стандарта, и не реже чем раз в год - сведения об эффекте, достигнутом при внедрении стандарта</w:t>
      </w:r>
      <w:proofErr w:type="gramEnd"/>
      <w:r>
        <w:t>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Для повышения мотивации руководителей органов исполнительной власти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органов исполнительной власти субъекта Российской Федерации и органов местного самоуправления по внедрению стандарта и реализации "дорожной карты" при принятии в установленном порядке решений о поощрении руководителей органов исполнительной</w:t>
      </w:r>
      <w:proofErr w:type="gramEnd"/>
      <w:r>
        <w:t xml:space="preserve"> власти субъекта Российской Федерации и органов местного самоуправления.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  <w:outlineLvl w:val="1"/>
      </w:pPr>
      <w:r>
        <w:t>II. Определение уполномоченного органа</w:t>
      </w: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  <w:r>
        <w:t>9. Уполномоченный орган определяется из числа органов исполнительной власти субъекта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10. Уполномоченный орган осуществляет следующие полномочия: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а) формирует с участием органов исполнительной власти субъекта Российской Федерации, осуществляющих (координирующих) деятельность в установленных сферах ведения, проект перечня товарных рынков с аргументированным обоснованием выбора каждого товарного рынка и описанием текущей ситуации на каждом товарном рынке, а также с анализом основных проблем и методов их решения и представляет его на рассмотрение и утверждение высшему должностному лицу;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б) подготавливает проект ежегодного доклада о состоянии и развитии конкуренции на товарных рынках субъекта Российской Федерации (далее - доклад) для его рассмотрения и утверждения коллегиальным органом;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г) организует проектную деятельность по вопросам внедрения стандарта, координирует в формате региональной приоритетной программы по внедрению стандарта деятельность органов исполнительной власти субъекта Российской Федерации по выполнению мероприятий, предусмотренных "дорожной картой" и соответствующими ведомственными приоритетными </w:t>
      </w:r>
      <w:r>
        <w:lastRenderedPageBreak/>
        <w:t>проектами;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конкуренции, а также повышения качества процессов, связанных с предоставлением услуг, влияющих на развитие конкуренции;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з) рассматривает обращения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и) организует проведение мониторинга состояния и развития конкуренции на товарных рынках субъекта Российской Федерации (далее - мониторинг);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к) осуществляет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В рамках реализации мероприятий "дорожной карты", а также иных мероприятий по содействию развитию конкуренции органы исполнительной власти субъекта Российской Федерации, осуществляющие (координирующие) деятельность в установленной сфере ведения, при участии уполномоченного органа: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а) проводят мониторинг, при необходимости подготавливают предложения по улучшению конкурентной среды на товарных рынках субъекта Российской Федерации (в виде проектов актов, ведомственных приоритетных проектов или иных документов);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осуществляют реализацию мероприятий "дорожной карты", а также иных мероприятий по содействию развитию конкуренции;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обеспечивают единство целей и направлений деятельности органов исполнительной власти субъекта Российской Федерации и органов местного самоуправления;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обеспечивают информационное взаимодействие с потребителями товаров, работ, услуг, участниками экономической деятельности (предпринимательским сообществом) и другими заинтересованными сторонами, в том числе в целях доступности для потребителей товаров, работ, услуг и других участников экономической деятельности информации о решениях и мероприятиях, оказывающих воздействие на конкуренцию;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проводят анализ результативности мероприятий "дорожной карты", а также иных мероприятий по содействию развитию конкуренции, формируют разделы проекта доклада.</w:t>
      </w: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Title"/>
        <w:jc w:val="center"/>
        <w:outlineLvl w:val="1"/>
      </w:pPr>
      <w:r>
        <w:t>III. Рассмотрение вопросов содействия развитию конкуренции</w:t>
      </w:r>
    </w:p>
    <w:p w:rsidR="00384A82" w:rsidRDefault="00384A82">
      <w:pPr>
        <w:pStyle w:val="ConsPlusTitle"/>
        <w:jc w:val="center"/>
      </w:pPr>
      <w:r>
        <w:t>на заседаниях коллегиального органа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>12. Коллегиальный орган на своих заседаниях рассматривает подготавливаемые в целях стимулирования развития конкуренции: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а) проект перечня товарных рынков с аргументированным обоснованием выбора каждого </w:t>
      </w:r>
      <w:r>
        <w:lastRenderedPageBreak/>
        <w:t>товарного рынка и описанием текущей ситуации на каждом товарном рынке, а также анализом основных проблем и методов их решения;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б) проект "дорожной карты", включая информацию о разработке и выполнении мероприятий, предусмотренных "дорожной картой";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конкуренции, а также отчет об эффективности контрольно-надзорной деятельности в субъекте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результаты и анализ результатов мониторинга.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13. Коллегиальный орган </w:t>
      </w:r>
      <w:proofErr w:type="gramStart"/>
      <w:r>
        <w:t>рассматривает и утверждает</w:t>
      </w:r>
      <w:proofErr w:type="gramEnd"/>
      <w:r>
        <w:t xml:space="preserve">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384A82" w:rsidRDefault="00384A82">
      <w:pPr>
        <w:pStyle w:val="ConsPlusNormal"/>
        <w:spacing w:before="220"/>
        <w:ind w:firstLine="540"/>
        <w:jc w:val="both"/>
      </w:pPr>
      <w:bookmarkStart w:id="2" w:name="P92"/>
      <w:bookmarkEnd w:id="2"/>
      <w:r>
        <w:t>14.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б) представители совета муниципальных образований, иных объединений муниципальных образований и (или) органов местного самоуправления;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в) представители общественных организаций, действующих в интересах предпринимателей и потребителей товаров, работ, услуг;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представители комиссии по проведению административной реформы в субъекте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представители научных, исследовательских, проектных, аналитических организаций и технологических платформ, структурных подразделений федерального государственного бюджетного учреждения "Российская академия наук" в субъекте Российской Федерации (при наличии);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е) представители потребителей товаров, работ, услуг, задействованные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з) представители объединений, действующих в интересах сферы рыбного хозяйства (воспроизводство водных биологических ресурсов, аквакультура, марикультура, товарное рыбоводство, промышленное рыболовство, рыбопереработка и др.);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и) представители профессиональных союзов и обществ, в том числе организаций, действующих в интересах кадрового обеспечения высокотехнологичных отраслей промышленности;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к) представители организаций, сфера деятельности которых связана с объединением профессиональных (независимых) директоров;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lastRenderedPageBreak/>
        <w:t>л) эксперты и специалисты иных направлений (конструкторы, инженеры, изобретатели, инноваторы, специалисты в области программного обеспечения, информационно-коммуникационных технологий, медицинских и биотехнологий, нанотехнологий, альтернативной энергетики и энергоэффективности,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м) представители общественных палат субъектов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15. В </w:t>
      </w:r>
      <w:proofErr w:type="gramStart"/>
      <w:r>
        <w:t>случае</w:t>
      </w:r>
      <w:proofErr w:type="gramEnd"/>
      <w:r>
        <w:t xml:space="preserve"> необходимости в состав коллегиального органа помимо лиц, указанных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стандарта, могут включаться иные участники (с учетом региональной специфики).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16. В состав коллегиального органа, а также отдельных специализированных рабочих групп по направлениям целесообразно включение: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представителей территориальных органов федеральных органов исполнительной власти;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б) уполномоченного по защите прав предпринимателей в субъекте Российской Федерации;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в) уполномоченного по правам человека в субъекте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представителей территориальных учреждений Центрального банка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17. Заседания коллегиального органа в очном формате целесообразно проводить не реже одного раза в квартал.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18. Указанные в настоящем разделе функции коллегиального органа в случае необходимости могут быть возложены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19. Материалы заседаний коллегиального органа </w:t>
      </w:r>
      <w:proofErr w:type="gramStart"/>
      <w:r>
        <w:t>являются открытыми и размещаются</w:t>
      </w:r>
      <w:proofErr w:type="gramEnd"/>
      <w:r>
        <w:t xml:space="preserve"> на официальном сайте уполномоченного органа в сети "Интернет".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  <w:outlineLvl w:val="1"/>
      </w:pPr>
      <w:r>
        <w:t>IV. Утверждение перечня товарных рынков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 xml:space="preserve">20. Уполномоченный орган разрабатывает проект перечня товарных рынков, </w:t>
      </w:r>
      <w:proofErr w:type="gramStart"/>
      <w:r>
        <w:t>обосновывает выбор каждого товарного рынка с описанием текущей ситуации и анализом основных проблем и методов их решения и устанавливает</w:t>
      </w:r>
      <w:proofErr w:type="gramEnd"/>
      <w:r>
        <w:t xml:space="preserve"> обязательные для достижения ключевые показатели.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21. В перечень товарных рынков включается не менее 33 товарных рынков из перечня товарных рынков согласно </w:t>
      </w:r>
      <w:hyperlink w:anchor="P323" w:history="1">
        <w:r>
          <w:rPr>
            <w:color w:val="0000FF"/>
          </w:rPr>
          <w:t>приложению</w:t>
        </w:r>
      </w:hyperlink>
      <w:r>
        <w:t>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 "дорожной карте" предусматриваются соответствующие мероприятия по развитию конкуренции на таких товарных рынках.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Числовые значения ключевых показателей и мероприятия по развитию конкуренции на товарных рынках в "дорожной карте" определяются на период 2019 - 2022 годов с учетом необходимости обязательного достижения к 2022 году числовых значений ключевых показателей не ниже числовых значений, установленных приложением к стандарту. При этом этапы реализации мероприятий по развитию конкуренции на конкретных товарных рынках и числовые значения ключевых показателей по каждому году в период 2019 - 2022 годов определяются </w:t>
      </w:r>
      <w:r>
        <w:lastRenderedPageBreak/>
        <w:t>субъектами Российской Федерации самостоятельно с учетом специфики социально-экономического развития.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22. Перечень товарных рынков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23. Разработка перечня товарных рынков </w:t>
      </w:r>
      <w:proofErr w:type="gramStart"/>
      <w:r>
        <w:t>осуществляется</w:t>
      </w:r>
      <w:proofErr w:type="gramEnd"/>
      <w:r>
        <w:t xml:space="preserve"> в том числе на основе следующих данных: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состояния конкуренции на товарных рынках субъекта Российской Федерации и осуществления государственного контроля за соблюдением антимонопольного законодательства Российской Федерации, а также информация территориальных учреждений Центрального банка Российской Федерации (при ее наличии);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б) информация территориальных органов Федеральной антимонопольной службы,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инвестиционные приоритеты, определяемые субъектом Российской Федерации в установленном им порядке;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результаты аналитических исследований и опросов субъектов предпринимательской деятельности, экспертов, потребителей товаров, работ, услуг, саморегулируемых организаций, профессиональных союзов и советов потребителей, а также общественных организаций, представляющих интересы потребителей, включая результаты мониторинга;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ж) информация научных, исследовательских, аналитических и проектных организаций, экспертные оценки состояния товарных рынков и отраслей региональной экономики, а также данные хозяйствующих субъектов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деятельности.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24. Информация о разработке проекта перечня товарных рынков и его проект размещаются на официальном сайте уполномоченного органа в сети "Интернет". Субъектам предпринимательской деятельности, потребителям товаров, работ,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 товарных рынков.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25. Проект перечня товарных рынков рассматривается на заседании коллегиального органа, </w:t>
      </w:r>
      <w:proofErr w:type="gramStart"/>
      <w:r>
        <w:t>одобряется им и выносится</w:t>
      </w:r>
      <w:proofErr w:type="gramEnd"/>
      <w:r>
        <w:t xml:space="preserve"> на утверждение высшего должностного лица.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  <w:outlineLvl w:val="1"/>
      </w:pPr>
      <w:r>
        <w:t>V. Разработка "дорожной карты"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>26. Утверждение "дорожной карты" осуществляется высшим должностным лицом.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27. "Дорожная карта" разрабатывается на основе анализа результатов мониторинга, лучших практик </w:t>
      </w:r>
      <w:proofErr w:type="gramStart"/>
      <w:r>
        <w:t>работы органов исполнительной власти субъектов Российской Федерации</w:t>
      </w:r>
      <w:proofErr w:type="gramEnd"/>
      <w:r>
        <w:t xml:space="preserve"> по внедрению стандарта, информации территориальных органов федеральных органов исполнительной власти, </w:t>
      </w:r>
      <w:r>
        <w:lastRenderedPageBreak/>
        <w:t>территориальных учреждений Центрального банка Российской Федерации и иных источников информации.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Допускается включение в "дорожную карту" мероприятий до проведения мониторинга при наличии достаточной информации и материалов о необходимости реализации мер по развитию конкуренции на соответствующем товарном рынке.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При этом в "дорожную карту" ежегодно вносятся изменения с учетом анализа результатов мониторинга и получаемой информации. Не допускается включение в "дорожную карту" фактически выполненных мероприятий с достигнутыми ключевыми показателями.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28. При разработке и реализации "дорожной карты", а также при внесении в нее изменений осуществляются: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определение процессов, необходимых для реализации требований по развитию конкуренции;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определение последовательности и взаимодействия этих процессов, а также их приоритетность;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определение критериев и методов, необходимых для обеспечения результативности и эффективности как при осуществлении этих процессов, так и при управлении ими;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обеспечение ресурсов и информации, необходимых для поддержания этих процессов и их мониторинга;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д) определение принципов и порядка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с органами местного самоуправления;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мероприятия, необходимые для достижения запланированных результатов.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29. Органы местного самоуправления при наличии соглашения могут быть соисполнителями мероприятий "дорожной карты".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30. Наряду с мероприятиями, сформированными в целях достижения ключевых показателей, в "дорожной карте" предусматриваются также системные мероприятия, которые должны быть направлены на развитие конкуренции в субъекте Российской Федерации, в том числе: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на развитие конкурентоспособности товаров, работ, услуг субъектов малого и среднего предпринимательства;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исполнителей), предусматривающих: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устранение случаев (снижение количества) осуществления закупки у единственного поставщика;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расширение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lastRenderedPageBreak/>
        <w:t>в)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прирост объема закупок у субъектов малого и среднего предпринимательства;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увеличение количества участников закупок из числа субъектов малого и среднего предпринимательства;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увеличение количества поставщиков (подрядчиков, исполнителей) из числа субъектов малого и среднего предпринимательства и количества договоров, заключаемых с субъектами малого и среднего предпринимательства;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экономия средств заказчика за счет участия в закупках субъектов малого и среднего предпринимательства;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10" w:history="1">
        <w:r>
          <w:rPr>
            <w:color w:val="0000FF"/>
          </w:rPr>
          <w:t>статьям 15</w:t>
        </w:r>
      </w:hyperlink>
      <w:r>
        <w:t xml:space="preserve"> и </w:t>
      </w:r>
      <w:hyperlink r:id="rId11" w:history="1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устанавливаемых в соответствии с федеральными законами "</w:t>
      </w:r>
      <w:hyperlink r:id="rId12" w:history="1">
        <w:r>
          <w:rPr>
            <w:color w:val="0000FF"/>
          </w:rPr>
          <w:t>Об общих принципах организации</w:t>
        </w:r>
      </w:hyperlink>
      <w:r>
        <w:t xml:space="preserve"> законодательных (представительных) и исполнительных органов государственной власти субъектов Российской Федерации" и "</w:t>
      </w:r>
      <w:hyperlink r:id="rId13" w:history="1">
        <w:r>
          <w:rPr>
            <w:color w:val="0000FF"/>
          </w:rPr>
          <w:t>Об общих принципах организации местного самоуправления</w:t>
        </w:r>
      </w:hyperlink>
      <w:r>
        <w:t xml:space="preserve"> в Российской Федерации", пунктов, предусматривающих</w:t>
      </w:r>
      <w:proofErr w:type="gramEnd"/>
      <w:r>
        <w:t xml:space="preserve">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д) на совершенствование процессов управления в рамках </w:t>
      </w:r>
      <w:proofErr w:type="gramStart"/>
      <w:r>
        <w:t>полномочий органов исполнительной власти субъектов Российской Федерации</w:t>
      </w:r>
      <w:proofErr w:type="gramEnd"/>
      <w:r>
        <w:t xml:space="preserve">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разработку, утверждение и выполнение комплексного плана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</w:t>
      </w:r>
      <w:proofErr w:type="gramStart"/>
      <w:r>
        <w:t>содержатся</w:t>
      </w:r>
      <w:proofErr w:type="gramEnd"/>
      <w:r>
        <w:t xml:space="preserve">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</w:t>
      </w:r>
      <w:r>
        <w:lastRenderedPageBreak/>
        <w:t>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организацию и проведение публичных торгов или иных конкурентных способов определения поставщиков (подрядчиков, исполнителей) при реализации или предоставлении во владение и (или) пользование, в том числе субъектам малого и среднего предпринимательства,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создание условий, в соответствии с которыми указанные хозяйствующие субъекты при допуске к участию в закупках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на создание условий для недискриминационного доступа хозяйствующих субъектов на товарные рынки;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ж) на обеспечение и сохранение целевого использования государственных (муниципальных) объектов недвижимого имущества в социальной сфере;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з) на 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и) на содействие развитию негосударственных (немуниципальных) социально ориентированных некоммерческих организаций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</w:t>
      </w:r>
      <w:proofErr w:type="gramEnd"/>
      <w:r>
        <w:t xml:space="preserve">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к)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л) на 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м) на повышение в субъекте Российской Федерации цифровой грамотности населения, </w:t>
      </w:r>
      <w:r>
        <w:lastRenderedPageBreak/>
        <w:t>государственных гражданских служащих и работников бюджетной сферы в рамках соответствующей региональной программы;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н) на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о)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</w:t>
      </w:r>
      <w:proofErr w:type="gramEnd"/>
      <w:r>
        <w:t xml:space="preserve">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п) на мобильность трудовых ресурсов, способствующую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р)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с)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Ворлдскиллс Интернешнл (WorldSkills International), а также на содействие включению обучающихся,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(International Abilympic Federation);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т)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у) на содействие созданию и развитию институтов поддержки субъектов малого предпринимательства в инновационной деятельности (прежде всего финансирование начальной стадии развития организации и гарантия непрерывности поддержки), обеспечивающих благоприятную экономическую среду для среднего и крупного бизнеса;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ф) на 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субъекта Российской Федерации, прошедшего обучение по повышению финансовой грамотности в рамках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г. N 2039-р;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х) на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субъекта </w:t>
      </w:r>
      <w:r>
        <w:lastRenderedPageBreak/>
        <w:t>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ц) на повышение доступности финансовых услуг для субъектов экономической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ч) на реализацию мер, направленных на выравнивание условий конкуренции как в рамках товарных рынков внутри субъекта Российской Федерации (включая темпы роста цен), так и между субъектами Российской Федерации (включая темпы роста и уровни цен);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ш)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щ)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связи, а также на разработку и утверждение типовых проектов для целей их повторного применения при возведении (создании) антенно-мачтовых сооружений (объектов) для услуг связи;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ы) на организацию в государственных жилищных инспекциях в субъектах Российской Федерации горячей телефонной линии, а также электронной формы обратной связи в сети "Интернет" (с возможностью прикрепления файлов фот</w:t>
      </w:r>
      <w:proofErr w:type="gramStart"/>
      <w:r>
        <w:t>о-</w:t>
      </w:r>
      <w:proofErr w:type="gramEnd"/>
      <w:r>
        <w:t xml:space="preserve"> и видеосъемки);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э)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на всей территории субъекта Российской Федерации, в рамках соответствующего соглашения или меморандума между органами исполнительной власти</w:t>
      </w:r>
      <w:proofErr w:type="gramEnd"/>
      <w:r>
        <w:t xml:space="preserve"> субъекта Российской Федерации и органами местного самоуправления.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31. "Дорожная карта" должна содержать следующую информацию: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исходная фактическая информация (в том числе в числовом выражении) в отношении ситуации, сложившейся в каждой отрасли (сфере) экономики (на отдельных товарных рынках) субъекта Российской Федерации, и ее проблематики;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сведения о мероприятиях (с указанием срока их разработки и реализации), обеспечивающих достижение установленных результатов (целей);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результаты (цели) и ключевые показатели развития конкуренции (с указанием срока их достижения);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г) сведения </w:t>
      </w:r>
      <w:proofErr w:type="gramStart"/>
      <w:r>
        <w:t>о</w:t>
      </w:r>
      <w:proofErr w:type="gramEnd"/>
      <w:r>
        <w:t xml:space="preserve"> исполнителях и соисполнителях, ответственных за разработку и реализацию мероприятий, обеспечивающих достижение установленных результатов (целей).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32. Планируется, что мероприятия, предусмотренные "дорожной картой", затронут все сферы деятельности органов исполнительной власти субъекта Российской Федерации и органов местного самоуправления при возможном взаимодействии по соисполнению этих мероприятий (предусматриваемом в рамках соглашения) в соответствии с реализуемыми функциями и полномочиями, напрямую или косвенно влияющими на развитие конкуренции.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33.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</w:t>
      </w:r>
      <w:r>
        <w:lastRenderedPageBreak/>
        <w:t>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указываются в приложении к ней.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34. С учетом соглашения в "дорожную карту" могут включаться мероприятия в отношении муниципальных образований.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35. </w:t>
      </w:r>
      <w:proofErr w:type="gramStart"/>
      <w:r>
        <w:t>Каждому органу исполнительной власти субъекта Российской Федерации и каждому органу местного самоуправления, являющимся ответственными за выполнение мероприятий, предусмотренных "дорожной картой", рекомендуется разработать и утвердить план по реализации таких мероприятий.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36. Предполагается, что проект "дорожной карты" должен рассматриваться, </w:t>
      </w:r>
      <w:proofErr w:type="gramStart"/>
      <w:r>
        <w:t>одобряться и выноситься</w:t>
      </w:r>
      <w:proofErr w:type="gramEnd"/>
      <w:r>
        <w:t xml:space="preserve"> на рассмотрение высшего должностного лица коллегиальным органом.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37. Информация о "дорожной карте" и реализации ее отдельных мероприятий размещается на официальном сайте уполномоченного органа в сети "Интернет".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  <w:outlineLvl w:val="1"/>
      </w:pPr>
      <w:r>
        <w:t>VI. Проведение мониторинга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 xml:space="preserve">38. </w:t>
      </w:r>
      <w:proofErr w:type="gramStart"/>
      <w:r>
        <w:t>Уполномоченный орган ежегодно организует проведение мониторинга, для эффективности которого высшим должностным лицом субъекта Российской Федерации и высшими должностными лицами субъектов Российской Федерации, имеющих с указанным субъектом Российской Федерации общие территориальные границы, может быть заключено соглашение о проведении исследования межрегиональных границ товарных рынков, а также возможности согласованной разработки и реализации совместных мероприятий в рамках внедрения стандарта в таких субъектах Российской Федерации</w:t>
      </w:r>
      <w:proofErr w:type="gramEnd"/>
      <w:r>
        <w:t>.</w:t>
      </w:r>
    </w:p>
    <w:p w:rsidR="00384A82" w:rsidRDefault="00384A82">
      <w:pPr>
        <w:pStyle w:val="ConsPlusNormal"/>
        <w:spacing w:before="220"/>
        <w:ind w:firstLine="540"/>
        <w:jc w:val="both"/>
      </w:pPr>
      <w:bookmarkStart w:id="3" w:name="P204"/>
      <w:bookmarkEnd w:id="3"/>
      <w:r>
        <w:t>39. Мониторинг включает в себя: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мониторинг наличия (отсутствия) административных барьеров и оценки состояния конкуренции субъектами предпринимательской деятельности, предусматривающий: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выделение групп субъектов предпринимательской деятельности (малый, средний, крупный бизнес), а также вида деятельности (наименование товарного рынка, на котором субъект предпринимательской деятельности, представляющий свою оценку состояния конкуренции, осуществляет фактическую предпринимательскую деятельность);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 состоянии и изменении конкуренции,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сбор данных о наличии и уровне административных барьеров в сферах регулирования,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формирование на основе указанных данных репрезентативных оценок в отношении субъекта Российской Федерации и сегментов бизнеса;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 возможностях недискриминационного доступа на товарные рынки субъекта Российской Федерации, а также товарные рынки субъектов Российской Федерации, имеющих с ним общие территориальные границы, в части появления новых хозяйствующих субъектов и начала осуществления ими предпринимательской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сбор данных о продолжительности осуществления предпринимательской деятельности </w:t>
      </w:r>
      <w:r>
        <w:lastRenderedPageBreak/>
        <w:t>хозяйствующих субъектов, деятельность которых начата в период не ранее 5 и не позже 3 лет до начала сбора указанных данных;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мониторинг удовлетворенности потребителей качеством товаров, работ, услуг на товарных рынках субъекта Российской Федерации и состоянием ценовой конкуренции, предусматривающий: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выделение групп потребителей товаров, работ, услуг в соответствии с их социальным статусом (учащиеся, пенсионеры и др.);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 восприятии и динамике оценки потребителями состояния конкуренции между продавцами товаров, работ, услуг в субъекте Российской Федерации посредством ценообразования;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об удовлетворенности потребителей, приобретавших товар, работу, услугу в определенный период, качеством товара, работы, услуги на основе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сбор данных об удовлетворенности потребителей, приобретавших товар, работу, услугу в определенный период, качеством товаров, работ, услуг, произведенных (оказываемых) в субъекте Российской Федерации, а также произведенных (оказываемых) соответственно в субъектах Российской Федерации, имеющих с ним общие территориальные границы;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в) мониторинг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формирование перечня товарных рынков, на которых присутствуют субъекты естественных монополий;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сбор данных о развитии конкуренции и удовлетворенности качеством товаров, работ, услуг на выявленных товарных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в том числе в электронном виде, так и со стороны потребителей товаров, работ, услуг, предоставляемых субъектами естественных монополий;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сбор и анализ данных об уровнях тарифов (цен), установленных уполномоченным органом исполнительной власти субъекта Российской Федерации в области государственного регулирования тарифов, за текущий и прошедший периоды;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сбор и анализ данных о количестве нарушений субъектами естественных монополий установленных тарифов в соответствующих сферах регулирования (электроэнергетика, теплоснабжение, водоснабжение и водоотведение, газоснабжение) с учетом тарифов на технологическое подключение к указанным видам инфраструктуры;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работ, услуг, задействованными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lastRenderedPageBreak/>
        <w:t>сбор и анализ данных об оказываемых ресурсоснабжающими организациями и субъектами естественных монополий услугах по подключению (технологическому присоединению) к сетям инженерно-технического обеспечения в электронном виде, а также об оказании указанных услуг на базе многофункциональных центров предоставления государственных и муниципальных услуг;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субъекта Российской Федерации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с обозначением товарного рынка их присутствия</w:t>
      </w:r>
      <w:proofErr w:type="gramEnd"/>
      <w:r>
        <w:t xml:space="preserve">, </w:t>
      </w:r>
      <w:proofErr w:type="gramStart"/>
      <w:r>
        <w:t>на котором осуществляется такая деятельность, а также с указанием доли занимаемого товарного рынка каждого такого хозяйствующего субъекта (в том числе объема (доли) выручки в общей величине стоимостного оборота товарного рынка, объема (доли) реализованных на товарном рынке товаров, работ, услуг в натуральном выражении, объема финансирования из бюджета субъекта Российской Федерации и бюджетов муниципальных образований);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е) мониторинг удовлетворенности населения деятельностью в сфере финансовых услуг, осуществляемой на территории субъекта Российской Федерации, предусматривающий: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об уровне удовлетворенности населения деятельностью финансовых организаций на территории субъекта Российской Федерации, а также различными финансовыми продуктами и услугами (в рамках кредитования, сбережения и размещения свободных денежных средств, оказания платежных услуг, услуг страхования), в том числе их качеством, доступностью, стоимостью и др.;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мониторинга финансовой доступности</w:t>
      </w:r>
      <w:proofErr w:type="gramEnd"/>
      <w:r>
        <w:t xml:space="preserve">, </w:t>
      </w:r>
      <w:proofErr w:type="gramStart"/>
      <w:r>
        <w:t>результаты</w:t>
      </w:r>
      <w:proofErr w:type="gramEnd"/>
      <w:r>
        <w:t xml:space="preserve"> которого ежегодно публикуются на официальном сайте в сети "Интернет";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ж) мониторинг доступности для населения финансовых услуг, оказываемых на территории субъекта Российской Федерации, предусматривающий: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использование официальной статистики Центрального банка Российской Федерации в отношении деятельности финансовых организаций;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об использовании населением финансовых продуктов и услуг различных финансовых организаций в определенный период (за последний год до опроса) и на конец периода (на дату опроса), возможности использования различных способов доступа к финансовым услугам (в том числе дистанционным), а также существующих барьерах для доступа к финансовым услугам;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сбор данных об оценке населением своего уровня финансовой грамотности (осведомленности, знаний, навыков, установок и поведения);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</w:t>
      </w:r>
      <w:r>
        <w:lastRenderedPageBreak/>
        <w:t>мониторинга финансовой доступности</w:t>
      </w:r>
      <w:proofErr w:type="gramEnd"/>
      <w:r>
        <w:t xml:space="preserve">, </w:t>
      </w:r>
      <w:proofErr w:type="gramStart"/>
      <w:r>
        <w:t>результаты</w:t>
      </w:r>
      <w:proofErr w:type="gramEnd"/>
      <w:r>
        <w:t xml:space="preserve"> которого ежегодно публикуются на официальном сайте в сети "Интернет";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з) мониторинг цен (с учетом динамики) на товары, входящие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Правительства Российской Федерации от 15 июля 2010 г. N 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</w:t>
      </w:r>
      <w:proofErr w:type="gramEnd"/>
      <w:r>
        <w:t xml:space="preserve"> </w:t>
      </w:r>
      <w:proofErr w:type="gramStart"/>
      <w:r>
        <w:t>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вознаграждения", а также проведение оценки факторов, способных оказать влияние на такие цены (например, изменение стоимости топлива, электрической энергии, основного сырья в пищевом производстве, аренды</w:t>
      </w:r>
      <w:proofErr w:type="gramEnd"/>
      <w:r>
        <w:t xml:space="preserve"> и т.п.);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и) мониторинг логистических возможностей субъекта Российской Федерации с учетом логистических возможностей субъектов Российской Федерации, имеющих с ним общие территориальные границы, включающий сбор и анализ данных об обеспеченности его транспортной инфраструктурой, времени и объеме ее пропускной способности, существующих транспортных хабах и потенциале создания новых, а также о сервисной и сопутствующей инфраструктуре, необходимой как для транспортных средств, так и для работников, задействованных</w:t>
      </w:r>
      <w:proofErr w:type="gramEnd"/>
      <w:r>
        <w:t xml:space="preserve"> в этом сегменте, включая наличие стабильной подвижной радиотелефонной связи на удаленных дорогах;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к) 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40. При проведении мониторинга уполномоченный орган использует в том числе: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а) результаты опросов субъектов предпринимательской деятельности, экспертов, потребителей товаров, работ, услуг, проводимых уполномоченным органом, общероссийскими общественными организациями (в том числе Общероссийской общественной организацией малого и среднего предпринимательства "ОПОРА РОССИИ", Общероссийской общественной организацией "Деловая Россия", Общероссийской общественной организацией "Российский союз промышленников и предпринимателей", Торгово-промышленной палатой Российской Федерации), ассоциациями (союзами) и организациями, представляющими интересы потребителей;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б) обращения субъектов предпринимательской деятельности, экспертов, потребителей товаров, работ, услуг, касающиеся состояния конкуренции,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работ, услуг;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человека, с которыми для получения указанной информации предполагается заключение соответствующих соглашений;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г) информацию научных, исследовательских, аналитических и проектных организаций, в том числе структурных подразделений федерального государственного бюджетного учреждения </w:t>
      </w:r>
      <w:r>
        <w:lastRenderedPageBreak/>
        <w:t>"Российская академия наук" в субъекте Российской Федерации (при наличии), экспертные оценки состояния товарных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д) информацию о результатах мониторинга, организация проведения которого </w:t>
      </w:r>
      <w:proofErr w:type="gramStart"/>
      <w:r>
        <w:t>планируется в рамках соглашения и может</w:t>
      </w:r>
      <w:proofErr w:type="gramEnd"/>
      <w:r>
        <w:t xml:space="preserve"> стать частью мероприятий, предусмотренных "дорожной картой", осуществляемого муниципальными образованиями;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показатели, характеризующие состояние экономики и социальной сферы каждого муниципального образования;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ж) информацию о результатах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з) информацию о результатах анализа правоприменительной практики территориальных органов Федеральной антимонопольной службы, которая представляется Федеральной антимонопольной службой, в том числе о доле оспоренных в судах решений территориальных органов Федеральной антимонопольной службы, а также о доле их решений, вступивших в законную силу, с разбивкой по направлениям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и) информацию территориальных органов Федеральной антимонопольной службы, в том числе распространяемую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самоуправления.</w:t>
      </w:r>
    </w:p>
    <w:p w:rsidR="00384A82" w:rsidRDefault="00384A82">
      <w:pPr>
        <w:pStyle w:val="ConsPlusNormal"/>
        <w:spacing w:before="220"/>
        <w:ind w:firstLine="540"/>
        <w:jc w:val="both"/>
      </w:pPr>
      <w:bookmarkStart w:id="4" w:name="P246"/>
      <w:bookmarkEnd w:id="4"/>
      <w:r>
        <w:t>41. Уполномоченный орган вправе направить в территориальное учреждение Центрального банка Российской Федерации запрос о представлении следующей информации: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данные по ожидаемому потребителями темпу роста цен;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перечни товарных рынков,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Федерации, имеющих с таким субъектом Российской Федерации общие территориальные границы, или среднероссийским уровнем;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в) данные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(за последний год до опроса) и на конец периода (на день опроса), а также использования различных способов доступа к финансовым услугам (в том числе дистанционным) и существующих барьеров для доступа к финансовым услугам;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г) данные об удовлетворенности субъектами малого и среднего предпринимательства работой финансовых организаций, осуществляющих деятельность в субъекте Российской Федерации, и различными финансовыми продуктами и услугами;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д) данные об оценке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42. Территориальное учреждение Центрального банка Российской Федерации вправе представить в уполномоченный орган указанную в </w:t>
      </w:r>
      <w:hyperlink w:anchor="P246" w:history="1">
        <w:r>
          <w:rPr>
            <w:color w:val="0000FF"/>
          </w:rPr>
          <w:t>пункте 41</w:t>
        </w:r>
      </w:hyperlink>
      <w:r>
        <w:t xml:space="preserve"> стандарта информацию.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43. Министерство экономического развития Российской Федерации по согласованию с Федеральной антимонопольной службой, а также при участии Центрального банка Российской Федерации и автономной некоммерческой организации "Агентство стратегических инициатив по </w:t>
      </w:r>
      <w:r>
        <w:lastRenderedPageBreak/>
        <w:t>продвижению новых проектов" утверждает единую методику мониторинга.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Уполномоченный орган при отсутствии единой методики мониторинга товарных рынков вправе самостоятельно определить методику проведения мониторинга в соответствии с </w:t>
      </w:r>
      <w:hyperlink w:anchor="P204" w:history="1">
        <w:r>
          <w:rPr>
            <w:color w:val="0000FF"/>
          </w:rPr>
          <w:t>пунктами 39</w:t>
        </w:r>
      </w:hyperlink>
      <w:r>
        <w:t xml:space="preserve"> - </w:t>
      </w:r>
      <w:hyperlink w:anchor="P246" w:history="1">
        <w:r>
          <w:rPr>
            <w:color w:val="0000FF"/>
          </w:rPr>
          <w:t>41</w:t>
        </w:r>
      </w:hyperlink>
      <w:r>
        <w:t xml:space="preserve"> стандарта, а также установить критерии: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оценки состояния конкуренции субъектами предпринимательской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в) удовлетворенности потребителей качеством товаров, работ, услуг на товарных рынках субъекта Российской Федерации, а также состоянием ценовой конкуренции;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иные критерии.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44. </w:t>
      </w:r>
      <w:proofErr w:type="gramStart"/>
      <w:r>
        <w:t>На основе мониторинга наличия административных барьеров и оценки состояния конкуренции, результаты которых представляются субъектами предпринимательской деятельности, а также мониторинга удовлетворенности потребителей качеством товаров, работ, услуг на товарных рынках осуществляются формирование главных показателей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</w:t>
      </w:r>
      <w:proofErr w:type="gramEnd"/>
      <w:r>
        <w:t xml:space="preserve"> органов исполнительной власти субъекта Российской Федерации и органов местного самоуправления (в рамках соглашения).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45. Результаты мониторинга наличия административных барьеров и оценки состояния конкуренции, представляемые субъектами предпринимательской деятельности, а также мониторинга удовлетворенности потребителей качеством товаров, работ,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46. По результатам мониторинга уполномоченный орган подготавливает проект доклада, содержащий в том числе: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а) характеристику состояния конкуренции на товарных рынках, включенных в </w:t>
      </w:r>
      <w:hyperlink w:anchor="P323" w:history="1">
        <w:r>
          <w:rPr>
            <w:color w:val="0000FF"/>
          </w:rPr>
          <w:t>перечень</w:t>
        </w:r>
      </w:hyperlink>
      <w:r>
        <w:t xml:space="preserve"> товарных рынков, а также анализ факторов, ограничивающих конкуренцию;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б) данные мониторинга наличия административных барьеров и оценки состояния конкуренции субъектами предпринимательской деятельности, а также мониторинга удовлетворенности потребителей качеством товаров, работ, услуг на товарных рынках субъекта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в) информацию о результатах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а также об эффективности контрольно-надзорной деятельности в субъекте Российской Федерации;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д) 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(уровня доступности, полноты, скорости и </w:t>
      </w:r>
      <w:r>
        <w:lastRenderedPageBreak/>
        <w:t>удобства получения) официальной информации о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</w:t>
      </w:r>
      <w:proofErr w:type="gramEnd"/>
      <w:r>
        <w:t>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е)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стандарта, и оценку соответствия итогов реализации каждого ведомственного приоритетного проекта целям стандарта и задачам по его внедрению в субъекте Российской Федерации с указанием: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доли достигнутых показателей в общем количестве показателей;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средней суммы фактических значений достижения показателей (процентов плана);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доли показателей, по которым приняты корректирующие решения, в общем количестве показателей региональной приоритетной программы по внедрению стандарта;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доли достигнутых показателей, закрепленных за органом исполнительной власти субъекта Российской Федерации в установленной сфере ведения, в общем количестве показателей, по которым приняты корректирующие решения;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доли выполненных мероприятий в общем количестве мероприятий;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доли выполненных мероприятий в общем количестве мероприятий, по которым приняты корректирующие решения;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доли показателей, достигнутых в запланированные сроки, в общем количестве показателей в соответствии с ключевыми этапами и контрольными точками.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47. Доклад </w:t>
      </w:r>
      <w:proofErr w:type="gramStart"/>
      <w:r>
        <w:t>рассматривается и утверждается</w:t>
      </w:r>
      <w:proofErr w:type="gramEnd"/>
      <w:r>
        <w:t xml:space="preserve"> коллегиальным органом и размещается на официальном сайте уполномоченного органа в сети "Интернет".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48. Доклад направляется ежегодно, до 10 марта года, следующего за отчетным, уполномоченным органом в Министерство экономического развития Российской Федерации, Федеральную антимонопольную службу, Центральный банк Российской Федерации, а также автономной некоммерческой организации "Агентство стратегических инициатив по продвижению новых проектов".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>Материалы доклада могут использоваться Министерством экономического развития Российской Федерации и Федеральной антимонопольной службой для формирования с участием Центрального банка Российской Федерации и автономной некоммерческой организации "Агентство стратегических инициатив по продвижению новых проектов" единой позиции при подготовке представляемых в Правительство Российской Федерации предложений о внесении в законодательство Российской Федерации изменений, направленных на развитие конкуренции и улучшение условий ведения предпринимательской деятельности в</w:t>
      </w:r>
      <w:proofErr w:type="gramEnd"/>
      <w:r>
        <w:t xml:space="preserve">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50.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Title"/>
        <w:jc w:val="center"/>
        <w:outlineLvl w:val="1"/>
      </w:pPr>
      <w:r>
        <w:t xml:space="preserve">VII. Создание и реализация механизмов </w:t>
      </w:r>
      <w:proofErr w:type="gramStart"/>
      <w:r>
        <w:t>общественного</w:t>
      </w:r>
      <w:proofErr w:type="gramEnd"/>
    </w:p>
    <w:p w:rsidR="00384A82" w:rsidRDefault="00384A82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</w:t>
      </w: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Органами исполнительной власти субъекта Российской Федерации обеспечиваются создание и реализация механизмов общественного контроля за деятельностью субъектов </w:t>
      </w:r>
      <w:r>
        <w:lastRenderedPageBreak/>
        <w:t xml:space="preserve">естественных монополий в соответствии с </w:t>
      </w:r>
      <w:hyperlink r:id="rId16" w:history="1">
        <w:r>
          <w:rPr>
            <w:color w:val="0000FF"/>
          </w:rPr>
          <w:t>Концепцией</w:t>
        </w:r>
      </w:hyperlink>
      <w: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а также внедрение механизма технологического и ценового аудита инвестиционных проектов субъектов естественных</w:t>
      </w:r>
      <w:proofErr w:type="gramEnd"/>
      <w:r>
        <w:t xml:space="preserve"> монополий и крупных инвестиционных проектов с государственным участием, проведение которого целесообразно осуществлять в отношении объектов сметной стоимостью от 1 млрд. рублей.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 рамках указанных механизмов обеспечивается учет мнения потребителей товаров, работ,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Также могут быть учтены мнения представителей потребителей товаров, работ, услуг, задействованных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провести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Под учетом мнения потребителей товаров, работ,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работ, услуг, предпринимателей и экспертов, задействованных в рамках общественного контроля за деятельностью субъектов естественных монополий, в случае</w:t>
      </w:r>
      <w:proofErr w:type="gramEnd"/>
      <w:r>
        <w:t xml:space="preserve"> несогласия с мнениями указанных лиц давать в письменной форме развернутые обоснованные ответы на них с указанием причин несогласия, обеспечивать для представителей таких потребителей товаров, работ, услуг полноту доступа к информации, раскрытие которой предусмотрено законодательством Российской Федерации, а также открытость и публичность указанного взаимодействия.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52.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</w:t>
      </w:r>
      <w:proofErr w:type="gramStart"/>
      <w:r>
        <w:t>контроль за</w:t>
      </w:r>
      <w:proofErr w:type="gramEnd"/>
      <w:r>
        <w:t xml:space="preserve"> раскрытием информации и деятельностью субъектов естественных монополий. Высшее должностное лицо обеспечивает общественный </w:t>
      </w:r>
      <w:proofErr w:type="gramStart"/>
      <w:r>
        <w:t>контроль за</w:t>
      </w:r>
      <w:proofErr w:type="gramEnd"/>
      <w:r>
        <w:t xml:space="preserve">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 и реализацию крупных инвестиционных проектов с государственным участием.</w:t>
      </w:r>
    </w:p>
    <w:p w:rsidR="00384A82" w:rsidRDefault="00384A82">
      <w:pPr>
        <w:pStyle w:val="ConsPlusNormal"/>
        <w:spacing w:before="220"/>
        <w:ind w:firstLine="540"/>
        <w:jc w:val="both"/>
      </w:pPr>
      <w:bookmarkStart w:id="5" w:name="P289"/>
      <w:bookmarkEnd w:id="5"/>
      <w:r>
        <w:t>53. Субъектам естественных монополий, осуществляющим деятельность на территории субъекта Российской Федерации, необходимо размещать для общего сведения информацию о своей деятельности, обязательное раскрытие которой предусмотрено законодательством Российской Федерации, в том числе: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 xml:space="preserve"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</w:t>
      </w:r>
      <w:r>
        <w:lastRenderedPageBreak/>
        <w:t>аудит, об условиях заключенного с такой экспертной организацией договора на проведение технологического и ценового аудита (техническом задании, цене договора, сроках исполнения этапов работ по договору), а также об итогах экспертного обсуждения результатов технологического и ценового аудита представителями потребителей товаров, работ, услуг, задействованными</w:t>
      </w:r>
      <w:proofErr w:type="gramEnd"/>
      <w:r>
        <w:t xml:space="preserve"> в осуществлении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в) информацию о структуре тарифов на услуги (включая проект тарифной заявки), параметрах качества и надежности предоставляемых товаров, работ, услуг, стандартах качества товаров, работ, услуг (стандартах качества обслуживания потребителей товаров, работ, услуг) и процедурах предоставления товаров, работ,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работ, услуг субъектов естественных монополий</w:t>
      </w:r>
      <w:proofErr w:type="gramEnd"/>
      <w:r>
        <w:t xml:space="preserve"> и независимых экспертов;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г) иную информацию о своей деятельности, обязательное раскрытие которой предусмотрено законодательством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54. </w:t>
      </w:r>
      <w:proofErr w:type="gramStart"/>
      <w:r>
        <w:t xml:space="preserve">Раскрытие информации, указанной в </w:t>
      </w:r>
      <w:hyperlink w:anchor="P289" w:history="1">
        <w:r>
          <w:rPr>
            <w:color w:val="0000FF"/>
          </w:rPr>
          <w:t>пункте 53</w:t>
        </w:r>
      </w:hyperlink>
      <w:r>
        <w:t xml:space="preserve"> стандарта, осуществляется в установленном законодательством Российской Федерации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 и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информирования об инвестиционных возможностях субъекта Российской</w:t>
      </w:r>
      <w:proofErr w:type="gramEnd"/>
      <w:r>
        <w:t xml:space="preserve">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55.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кВ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</w:t>
      </w:r>
      <w:proofErr w:type="gramEnd"/>
      <w:r>
        <w:t xml:space="preserve"> ее строительства, реконструкции);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в) информации об услугах (подача заявки на технологическое присоединение, подача правоустанавливающих документов (по объекту, юридическому и физическому лицу, участку), подача заявки на заключение договора, расчет предположительной стоимости технологического присоединения, отслеживание (мониторинг) хода (статуса) технологического присоединения, получение условий технологического присоединения, заключение и получение договора о технологическом присоединении, внесение платежа по договору о технологическом присоединении, запись на прием для сдачи необходимой части</w:t>
      </w:r>
      <w:proofErr w:type="gramEnd"/>
      <w:r>
        <w:t xml:space="preserve"> документов на бумажном носителе) по подключению (технологическому присоединению) к сетям газораспределения, к электрическим сетям, к системам теплоснабжения, к централизованным системам </w:t>
      </w:r>
      <w:r>
        <w:lastRenderedPageBreak/>
        <w:t>водоснабжения и водоотведения, оказываемых в электронном виде субъектами естественных монополий и ресурсоснабжающими организациями физическим и юридическим лицам.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56.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  <w:outlineLvl w:val="1"/>
      </w:pPr>
      <w:r>
        <w:t>VIII. Повышение уровня информированности субъектов</w:t>
      </w:r>
    </w:p>
    <w:p w:rsidR="00384A82" w:rsidRDefault="00384A82">
      <w:pPr>
        <w:pStyle w:val="ConsPlusTitle"/>
        <w:jc w:val="center"/>
      </w:pPr>
      <w:proofErr w:type="gramStart"/>
      <w:r>
        <w:t>предпринимательской</w:t>
      </w:r>
      <w:proofErr w:type="gramEnd"/>
      <w:r>
        <w:t xml:space="preserve"> деятельности и потребителей товаров,</w:t>
      </w:r>
    </w:p>
    <w:p w:rsidR="00384A82" w:rsidRDefault="00384A82">
      <w:pPr>
        <w:pStyle w:val="ConsPlusTitle"/>
        <w:jc w:val="center"/>
      </w:pPr>
      <w:r>
        <w:t>работ, услуг о состоянии конкуренции и деятельности</w:t>
      </w:r>
    </w:p>
    <w:p w:rsidR="00384A82" w:rsidRDefault="00384A82">
      <w:pPr>
        <w:pStyle w:val="ConsPlusTitle"/>
        <w:jc w:val="center"/>
      </w:pPr>
      <w:r>
        <w:t>по содействию развитию конкуренции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Normal"/>
        <w:ind w:firstLine="540"/>
        <w:jc w:val="both"/>
      </w:pPr>
      <w:r>
        <w:t xml:space="preserve">57. На официальном сайте уполномоченного органа в сети "Интернет" в отдельном разделе размещаются информация о выполнении требований стандарта и мероприятий, предусмотренных "дорожной картой", документы, принимаемые во исполнение стандарта и "дорожной карты" и в целях содействия развитию конкуренции, а также сведения об эффекте, достигнутом при внедрении стандарта. Аналогичная информация размещается в отдельном разделе </w:t>
      </w:r>
      <w:proofErr w:type="gramStart"/>
      <w:r>
        <w:t>интернет-портала</w:t>
      </w:r>
      <w:proofErr w:type="gramEnd"/>
      <w:r>
        <w:t xml:space="preserve"> об инвестиционной деятельности в субъекте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размещается для общего сведения в средствах массовой информации.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На официальном сайте уполномоченного органа в сети "Интернет" и интернет-портале об инвестиционной деятельности в субъекте Российской Федерации в отдельном разделе размещается информация о мерах и инфраструктуре поддержки субъектов малого и среднего предпринимательства (включая отдельный подраздел для производителей сельскохозяйственной продукции), систематизированная по приоритетам развития субъекта Российской Федерации и видам деятельности, с указанием порядка получения указанной поддержки (в том числе в виде</w:t>
      </w:r>
      <w:proofErr w:type="gramEnd"/>
      <w:r>
        <w:t xml:space="preserve"> схемы) и показателей эффективности региональной программы, в рамках которой осуществляется эта деятельность.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>Общественным организациям, представляющим интересы субъектов предпринимательской деятельности и потребителей товаров, работ, услуг, а также представителям потребителей товаров, работ,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интернет-портале</w:t>
      </w:r>
      <w:proofErr w:type="gramEnd"/>
      <w:r>
        <w:t>: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работ, услуг;</w:t>
      </w:r>
    </w:p>
    <w:p w:rsidR="00384A82" w:rsidRDefault="00384A82">
      <w:pPr>
        <w:pStyle w:val="ConsPlusNormal"/>
        <w:spacing w:before="220"/>
        <w:ind w:firstLine="540"/>
        <w:jc w:val="both"/>
      </w:pPr>
      <w:proofErr w:type="gramStart"/>
      <w:r>
        <w:t>б) экспертных заключений указанных общественных организаций (представителей потребителей товаров, работ, услуг) на размещенные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  <w:proofErr w:type="gramEnd"/>
    </w:p>
    <w:p w:rsidR="00384A82" w:rsidRDefault="00384A82">
      <w:pPr>
        <w:pStyle w:val="ConsPlusNormal"/>
        <w:spacing w:before="220"/>
        <w:ind w:firstLine="540"/>
        <w:jc w:val="both"/>
      </w:pPr>
      <w: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384A82" w:rsidRDefault="00384A82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 xml:space="preserve">В целях общественного контроля за деятельностью органов исполнительной власти </w:t>
      </w:r>
      <w:r>
        <w:lastRenderedPageBreak/>
        <w:t>субъектов Российской Федерации и органов местного самоуправления по развитию конкуренции на заседаниях общественных советов при территориальных органах Федеральной антимонопольной службы, проводимых не реже 1 раза в 6 месяцев, обсуждаются вопросы достижения ключевых показателей развития конкуренции и внедрения стандарта.</w:t>
      </w:r>
      <w:proofErr w:type="gramEnd"/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ind w:firstLine="540"/>
        <w:jc w:val="both"/>
      </w:pPr>
    </w:p>
    <w:p w:rsidR="00384A82" w:rsidRDefault="00384A82">
      <w:pPr>
        <w:pStyle w:val="ConsPlusNormal"/>
        <w:jc w:val="right"/>
        <w:outlineLvl w:val="1"/>
      </w:pPr>
      <w:r>
        <w:t>Приложение</w:t>
      </w:r>
    </w:p>
    <w:p w:rsidR="00384A82" w:rsidRDefault="00384A82">
      <w:pPr>
        <w:pStyle w:val="ConsPlusNormal"/>
        <w:jc w:val="right"/>
      </w:pPr>
      <w:r>
        <w:t>к стандарту развития конкуренции</w:t>
      </w:r>
    </w:p>
    <w:p w:rsidR="00384A82" w:rsidRDefault="00384A82">
      <w:pPr>
        <w:pStyle w:val="ConsPlusNormal"/>
        <w:jc w:val="right"/>
      </w:pPr>
      <w:r>
        <w:t>в субъектах Российской Федерации</w:t>
      </w:r>
    </w:p>
    <w:p w:rsidR="00384A82" w:rsidRDefault="00384A82">
      <w:pPr>
        <w:pStyle w:val="ConsPlusNormal"/>
        <w:jc w:val="center"/>
      </w:pPr>
    </w:p>
    <w:p w:rsidR="00384A82" w:rsidRDefault="00384A82">
      <w:pPr>
        <w:pStyle w:val="ConsPlusTitle"/>
        <w:jc w:val="center"/>
      </w:pPr>
      <w:bookmarkStart w:id="6" w:name="P323"/>
      <w:bookmarkEnd w:id="6"/>
      <w:r>
        <w:t>ПЕРЕЧЕНЬ</w:t>
      </w:r>
    </w:p>
    <w:p w:rsidR="00384A82" w:rsidRDefault="00384A82">
      <w:pPr>
        <w:pStyle w:val="ConsPlusTitle"/>
        <w:jc w:val="center"/>
      </w:pPr>
      <w:r>
        <w:t>ТОВАРНЫХ РЫНКОВ ДЛЯ СОДЕЙСТВИЯ РАЗВИТИЮ КОНКУРЕНЦИИ</w:t>
      </w:r>
    </w:p>
    <w:p w:rsidR="00384A82" w:rsidRDefault="00384A82">
      <w:pPr>
        <w:pStyle w:val="ConsPlusTitle"/>
        <w:jc w:val="center"/>
      </w:pPr>
      <w:r>
        <w:t xml:space="preserve">В </w:t>
      </w:r>
      <w:proofErr w:type="gramStart"/>
      <w:r>
        <w:t>СУБЪЕКТЕ</w:t>
      </w:r>
      <w:proofErr w:type="gramEnd"/>
      <w:r>
        <w:t xml:space="preserve"> РОССИЙСКОЙ ФЕДЕРАЦИИ</w:t>
      </w:r>
    </w:p>
    <w:p w:rsidR="00384A82" w:rsidRDefault="00384A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4535"/>
        <w:gridCol w:w="1870"/>
      </w:tblGrid>
      <w:tr w:rsidR="00384A82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4A82" w:rsidRDefault="00384A82">
            <w:pPr>
              <w:pStyle w:val="ConsPlusNormal"/>
              <w:jc w:val="center"/>
            </w:pPr>
            <w:r>
              <w:t>Наименование товарного рынка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84A82" w:rsidRDefault="00384A82">
            <w:pPr>
              <w:pStyle w:val="ConsPlusNormal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384A82" w:rsidRDefault="00384A82">
            <w:pPr>
              <w:pStyle w:val="ConsPlusNormal"/>
              <w:jc w:val="center"/>
            </w:pPr>
            <w:r>
              <w:t>Минимальное значение ключевого показателя в 2022 году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Рынок услуг </w:t>
            </w:r>
            <w:proofErr w:type="gramStart"/>
            <w:r>
              <w:t>дошкольного</w:t>
            </w:r>
            <w:proofErr w:type="gramEnd"/>
            <w:r>
              <w:t xml:space="preserve"> образования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proofErr w:type="gramStart"/>
            <w: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1,6, но не менее 1 частной организации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услуг общего образования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1, но не менее 1 частной организации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услуг среднего профессионального образования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proofErr w:type="gramStart"/>
            <w:r>
              <w:t xml:space="preserve">доля обучающихся в частных образовательных организациях, реализующих основные профессиональные образовательные программы - </w:t>
            </w:r>
            <w:r>
              <w:lastRenderedPageBreak/>
              <w:t>образовательные программы среднего профессионального образования, в общем числе обучающихся в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процентов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5, но не менее 1 частной организации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Рынок услуг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детей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доля организаций частной формы собственности в сфере услуг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детей,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5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услуг детского отдыха и оздоровления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медицинских 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60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социальных 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Рынок ритуальных </w:t>
            </w:r>
            <w:r>
              <w:lastRenderedPageBreak/>
              <w:t>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lastRenderedPageBreak/>
              <w:t xml:space="preserve">доля организаций частной формы </w:t>
            </w:r>
            <w:r>
              <w:lastRenderedPageBreak/>
              <w:t>собственности в сфере ритуальных услуг,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теплоснабжения (производство тепловой энергии)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услуг по сбору и транспортированию твердых коммунальных отходов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выполнения работ по благоустройству городской среды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поставки сжиженного газа в баллонах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50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70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оказания услуг по ремонту автотранспортных средств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40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98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Рынок жилищного строительства (за исключением Московского фонда реновации жилой застройки и индивидуального </w:t>
            </w:r>
            <w:r>
              <w:lastRenderedPageBreak/>
              <w:t>жилищного строительства)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lastRenderedPageBreak/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Рынок </w:t>
            </w:r>
            <w:proofErr w:type="gramStart"/>
            <w:r>
              <w:t>дорожной</w:t>
            </w:r>
            <w:proofErr w:type="gramEnd"/>
            <w:r>
              <w:t xml:space="preserve"> деятельности (за исключением проектирования)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архитектурно-строительного проектирования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кадастровых и землеустроительных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реализации сельскохозяйственной продукции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5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лабораторных исследований для выдачи ветеринарных сопроводительных документов,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племенного животноводства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семеноводства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20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вылова водных биоресурсов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переработки водных биоресурсов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 xml:space="preserve">Рынок </w:t>
            </w:r>
            <w:proofErr w:type="gramStart"/>
            <w:r>
              <w:t>товарной</w:t>
            </w:r>
            <w:proofErr w:type="gramEnd"/>
            <w:r>
              <w:t xml:space="preserve"> аквакультуры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на рынке товарной аквакультуры,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80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нефтепродуктов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90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легкой промышленности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70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обработки древесины и производства изделий из дерева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70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производства кирпича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70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Рынок производства бетона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70</w:t>
            </w:r>
          </w:p>
        </w:tc>
      </w:tr>
      <w:tr w:rsidR="00384A82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A82" w:rsidRDefault="00384A82">
            <w:pPr>
              <w:pStyle w:val="ConsPlusNormal"/>
            </w:pPr>
            <w:r>
              <w:t>Сфера наружной рекламы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A82" w:rsidRDefault="00384A82">
            <w:pPr>
              <w:pStyle w:val="ConsPlusNormal"/>
            </w:pPr>
            <w: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A82" w:rsidRDefault="00384A82">
            <w:pPr>
              <w:pStyle w:val="ConsPlusNormal"/>
              <w:jc w:val="center"/>
            </w:pPr>
            <w:r>
              <w:t>100</w:t>
            </w:r>
          </w:p>
        </w:tc>
      </w:tr>
    </w:tbl>
    <w:p w:rsidR="00384A82" w:rsidRDefault="00384A82">
      <w:pPr>
        <w:pStyle w:val="ConsPlusNormal"/>
        <w:jc w:val="both"/>
      </w:pPr>
    </w:p>
    <w:p w:rsidR="00384A82" w:rsidRDefault="00384A82">
      <w:pPr>
        <w:pStyle w:val="ConsPlusNormal"/>
        <w:jc w:val="both"/>
      </w:pPr>
    </w:p>
    <w:p w:rsidR="00384A82" w:rsidRDefault="00384A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1BD" w:rsidRDefault="008C21BD"/>
    <w:sectPr w:rsidR="008C21BD" w:rsidSect="004E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82"/>
    <w:rsid w:val="00384A82"/>
    <w:rsid w:val="008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94F739A69BDD8761E583AA2306A1F26E239A0FBA86E5B522E9A0C7EBC86C935662483633AF3FF33468C8CA3331F29853A4B1C3DC0C4DBq9qBG" TargetMode="External"/><Relationship Id="rId13" Type="http://schemas.openxmlformats.org/officeDocument/2006/relationships/hyperlink" Target="consultantplus://offline/ref=AD894F739A69BDD8761E583AA2306A1F27E838A7F4AB6E5B522E9A0C7EBC86C927667C8F6338EDFC3353DADDE6q6qF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94F739A69BDD8761E583AA2306A1F26EA38AFF1A66E5B522E9A0C7EBC86C927667C8F6338EDFC3353DADDE6q6qFG" TargetMode="External"/><Relationship Id="rId12" Type="http://schemas.openxmlformats.org/officeDocument/2006/relationships/hyperlink" Target="consultantplus://offline/ref=AD894F739A69BDD8761E583AA2306A1F27E838A7F4AB6E5B522E9A0C7EBC86C927667C8F6338EDFC3353DADDE6q6qF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894F739A69BDD8761E583AA2306A1F26EA38A5F5A96E5B522E9A0C7EBC86C935662483633AF3FD38468C8CA3331F29853A4B1C3DC0C4DBq9q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894F739A69BDD8761E583AA2306A1F26EA38AFFAA86E5B522E9A0C7EBC86C927667C8F6338EDFC3353DADDE6q6qFG" TargetMode="External"/><Relationship Id="rId11" Type="http://schemas.openxmlformats.org/officeDocument/2006/relationships/hyperlink" Target="consultantplus://offline/ref=AD894F739A69BDD8761E583AA2306A1F27E835A4F1AB6E5B522E9A0C7EBC86C935662483633AF2F938468C8CA3331F29853A4B1C3DC0C4DBq9q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894F739A69BDD8761E583AA2306A1F25E339A1FBAC6E5B522E9A0C7EBC86C935662483633AF3FD33468C8CA3331F29853A4B1C3DC0C4DBq9qBG" TargetMode="External"/><Relationship Id="rId10" Type="http://schemas.openxmlformats.org/officeDocument/2006/relationships/hyperlink" Target="consultantplus://offline/ref=AD894F739A69BDD8761E583AA2306A1F27E835A4F1AB6E5B522E9A0C7EBC86C9356624816638F8A86A098DD0E7640C298F3A491422qCq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4F739A69BDD8761E583AA2306A1F26E239A0FBA86E5B522E9A0C7EBC86C935662483633AF3F839468C8CA3331F29853A4B1C3DC0C4DBq9qBG" TargetMode="External"/><Relationship Id="rId14" Type="http://schemas.openxmlformats.org/officeDocument/2006/relationships/hyperlink" Target="consultantplus://offline/ref=AD894F739A69BDD8761E583AA2306A1F26ED34AEF2AD6E5B522E9A0C7EBC86C935662483633AF3FD3A468C8CA3331F29853A4B1C3DC0C4DBq9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12720</Words>
  <Characters>72506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Курянович Дарья Борисовна</dc:creator>
  <cp:lastModifiedBy>Курянович Дарья Борисовна</cp:lastModifiedBy>
  <cp:revision>1</cp:revision>
  <dcterms:created xsi:type="dcterms:W3CDTF">2019-08-02T06:42:00Z</dcterms:created>
  <dcterms:modified xsi:type="dcterms:W3CDTF">2019-08-02T06:43:00Z</dcterms:modified>
</cp:coreProperties>
</file>