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6B05CB" w:rsidRPr="006B05CB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6B05CB" w:rsidRPr="006B05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B05CB" w:rsidRPr="006B05CB">
        <w:rPr>
          <w:rFonts w:ascii="Times New Roman" w:hAnsi="Times New Roman"/>
          <w:sz w:val="28"/>
          <w:szCs w:val="28"/>
        </w:rPr>
        <w:t xml:space="preserve"> ЗАТО г. Зеленогорска «Об утверждении Правил благоустройства </w:t>
      </w:r>
      <w:r w:rsidR="00DD4F80">
        <w:rPr>
          <w:rFonts w:ascii="Times New Roman" w:hAnsi="Times New Roman"/>
          <w:sz w:val="28"/>
          <w:szCs w:val="28"/>
        </w:rPr>
        <w:t>территории города Зеленогорска».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лицо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 w:rsidR="00372B7F"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5</cp:revision>
  <dcterms:created xsi:type="dcterms:W3CDTF">2021-08-13T09:21:00Z</dcterms:created>
  <dcterms:modified xsi:type="dcterms:W3CDTF">2021-08-13T09:40:00Z</dcterms:modified>
</cp:coreProperties>
</file>