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D6" w:rsidRPr="00317548" w:rsidRDefault="008B13D6" w:rsidP="00E87F85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</w:rPr>
      </w:pPr>
      <w:r w:rsidRPr="00317548">
        <w:rPr>
          <w:rFonts w:ascii="Times New Roman" w:hAnsi="Times New Roman" w:cs="Times New Roman"/>
          <w:noProof/>
          <w:sz w:val="28"/>
          <w:szCs w:val="28"/>
        </w:rPr>
        <w:t>ПРОЕКТ</w:t>
      </w:r>
    </w:p>
    <w:tbl>
      <w:tblPr>
        <w:tblStyle w:val="a5"/>
        <w:tblW w:w="1042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099"/>
        <w:gridCol w:w="1687"/>
        <w:gridCol w:w="1478"/>
        <w:gridCol w:w="3483"/>
        <w:gridCol w:w="676"/>
      </w:tblGrid>
      <w:tr w:rsidR="008B13D6" w:rsidRPr="00317548" w:rsidTr="00922A67">
        <w:trPr>
          <w:gridAfter w:val="1"/>
          <w:wAfter w:w="676" w:type="dxa"/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907A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7548">
              <w:rPr>
                <w:noProof/>
                <w:lang w:eastAsia="ru-RU"/>
              </w:rPr>
              <w:drawing>
                <wp:inline distT="0" distB="0" distL="0" distR="0" wp14:anchorId="29A5FE89" wp14:editId="6022848A">
                  <wp:extent cx="756285" cy="949325"/>
                  <wp:effectExtent l="0" t="0" r="571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3D6" w:rsidRPr="00317548" w:rsidRDefault="008B13D6" w:rsidP="00907A02">
            <w:pPr>
              <w:ind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3D6" w:rsidRPr="00317548" w:rsidRDefault="008B13D6" w:rsidP="00907A0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E23E48" w:rsidRPr="00317548" w:rsidRDefault="00E23E48" w:rsidP="00E87F85">
            <w:pPr>
              <w:ind w:left="567"/>
              <w:jc w:val="center"/>
            </w:pPr>
          </w:p>
        </w:tc>
      </w:tr>
      <w:tr w:rsidR="008B13D6" w:rsidRPr="00317548" w:rsidTr="00922A67">
        <w:trPr>
          <w:gridAfter w:val="1"/>
          <w:wAfter w:w="676" w:type="dxa"/>
          <w:trHeight w:val="66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E87F85" w:rsidP="00E87F85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E87F85">
            <w:pPr>
              <w:shd w:val="clear" w:color="auto" w:fill="FFFFFF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E87F85" w:rsidP="00E87F85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B13D6" w:rsidRPr="00317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</w:tc>
      </w:tr>
      <w:tr w:rsidR="00E87F85" w:rsidRPr="00317548" w:rsidTr="00144205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144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Об утверждении местных нормативов градостроительного про</w:t>
            </w:r>
            <w:r w:rsidR="00144205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ектирования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E8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7F" w:rsidRPr="00317548" w:rsidRDefault="00C14C7F" w:rsidP="00E87F8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B900D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23.12.2014 № 631-п «Об утверждении региональных нормативов градостроительного проектирования Красноярского края», на основании </w:t>
      </w:r>
      <w:hyperlink r:id="rId9" w:history="1">
        <w:r w:rsidRPr="003175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                   г. Зеленогорска и внесения изменений в них, утвержденного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№ 45-253р, руководствуясь Уставом города, Совет депутатов ЗАТО г. Зеленогорска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7E63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13E3F" w:rsidRPr="00317548" w:rsidRDefault="00313E3F" w:rsidP="00B900D5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ab/>
      </w:r>
    </w:p>
    <w:p w:rsidR="00313E3F" w:rsidRPr="00317548" w:rsidRDefault="007E632B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 Утвердить м</w:t>
      </w:r>
      <w:r w:rsidR="00313E3F" w:rsidRPr="00317548">
        <w:rPr>
          <w:rFonts w:ascii="Times New Roman" w:hAnsi="Times New Roman" w:cs="Times New Roman"/>
          <w:sz w:val="28"/>
          <w:szCs w:val="28"/>
        </w:rPr>
        <w:t xml:space="preserve">естные </w:t>
      </w:r>
      <w:hyperlink w:anchor="Par35" w:history="1">
        <w:r w:rsidR="00313E3F"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313E3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2550D5" w:rsidRPr="003175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3E3F" w:rsidRPr="00317548">
        <w:rPr>
          <w:rFonts w:ascii="Times New Roman" w:hAnsi="Times New Roman" w:cs="Times New Roman"/>
          <w:sz w:val="28"/>
          <w:szCs w:val="28"/>
        </w:rPr>
        <w:t>г. Зеленогорска согласно приложению к настоящему решению.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FE2330" w:rsidRPr="00317548" w:rsidRDefault="00FE2330" w:rsidP="00B900D5">
      <w:pPr>
        <w:suppressAutoHyphens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="003D3EB6" w:rsidRPr="0031754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FE2330" w:rsidRPr="00317548" w:rsidRDefault="00FE2330" w:rsidP="00FE2330">
      <w:pPr>
        <w:suppressAutoHyphens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675" w:type="dxa"/>
        <w:tblLook w:val="04A0" w:firstRow="1" w:lastRow="0" w:firstColumn="1" w:lastColumn="0" w:noHBand="0" w:noVBand="1"/>
      </w:tblPr>
      <w:tblGrid>
        <w:gridCol w:w="5670"/>
        <w:gridCol w:w="142"/>
        <w:gridCol w:w="3969"/>
        <w:gridCol w:w="709"/>
      </w:tblGrid>
      <w:tr w:rsidR="00FE2330" w:rsidRPr="00317548" w:rsidTr="009C0307">
        <w:tc>
          <w:tcPr>
            <w:tcW w:w="5812" w:type="dxa"/>
            <w:gridSpan w:val="2"/>
          </w:tcPr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__________ М.В. Сперанский   </w:t>
            </w:r>
          </w:p>
        </w:tc>
        <w:tc>
          <w:tcPr>
            <w:tcW w:w="4678" w:type="dxa"/>
            <w:gridSpan w:val="2"/>
          </w:tcPr>
          <w:p w:rsidR="00FE2330" w:rsidRPr="00317548" w:rsidRDefault="009C0307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____________ В.В. Терентьев</w:t>
            </w:r>
          </w:p>
        </w:tc>
      </w:tr>
      <w:tr w:rsidR="00FE2330" w:rsidRPr="00317548" w:rsidTr="009C0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09" w:type="dxa"/>
          <w:trHeight w:val="141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Совета депутатов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7E6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от  _________  №  __________</w:t>
            </w:r>
          </w:p>
        </w:tc>
      </w:tr>
    </w:tbl>
    <w:p w:rsidR="00C14C7F" w:rsidRPr="00317548" w:rsidRDefault="00C14C7F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5370" w:rsidRPr="00317548" w:rsidRDefault="00625370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6A5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317548">
        <w:rPr>
          <w:rFonts w:ascii="Times New Roman" w:hAnsi="Times New Roman" w:cs="Times New Roman"/>
          <w:sz w:val="28"/>
          <w:szCs w:val="28"/>
        </w:rPr>
        <w:t xml:space="preserve">Местные </w:t>
      </w:r>
      <w:hyperlink w:anchor="Par35" w:history="1">
        <w:r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</w:p>
    <w:p w:rsidR="00C14C7F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градостроительного проектирования г. Зеленогорска</w:t>
      </w: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9C0307" w:rsidRPr="00317548" w:rsidRDefault="009C0307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</w:t>
      </w:r>
      <w:r w:rsidR="00B900D5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(далее - Местные нормативы) разработаны в соответствии с Градостроительным </w:t>
      </w:r>
      <w:hyperlink r:id="rId10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Градостроительный кодекс), Федеральным </w:t>
      </w:r>
      <w:hyperlink r:id="rId11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3175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900D5" w:rsidRPr="0031754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23.12.2014 № 631-п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региональных нормативов градостроительного пр</w:t>
      </w:r>
      <w:r w:rsidR="00B900D5" w:rsidRPr="00317548">
        <w:rPr>
          <w:rFonts w:ascii="Times New Roman" w:hAnsi="Times New Roman" w:cs="Times New Roman"/>
          <w:sz w:val="28"/>
          <w:szCs w:val="28"/>
        </w:rPr>
        <w:t>оектирования Красноярского края»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Региональные нормативы), </w:t>
      </w:r>
      <w:hyperlink r:id="rId13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21.04.2016 № 10-4449 «</w:t>
      </w:r>
      <w:r w:rsidRPr="00317548">
        <w:rPr>
          <w:rFonts w:ascii="Times New Roman" w:hAnsi="Times New Roman" w:cs="Times New Roman"/>
          <w:sz w:val="28"/>
          <w:szCs w:val="28"/>
        </w:rPr>
        <w:t>О видах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объектов местного значения, подлежащих отображению в документах территориального планирования муниципальных </w:t>
      </w:r>
      <w:r w:rsidR="00B900D5" w:rsidRPr="00317548">
        <w:rPr>
          <w:rFonts w:ascii="Times New Roman" w:hAnsi="Times New Roman" w:cs="Times New Roman"/>
          <w:sz w:val="28"/>
          <w:szCs w:val="28"/>
        </w:rPr>
        <w:t>образований в Красноярском крае»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900D5" w:rsidRPr="0031754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г. Зеленогорска и внесения изменений в них, утвержденного решением Совета </w:t>
      </w:r>
      <w:proofErr w:type="gramStart"/>
      <w:r w:rsidR="00B900D5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                    № 45-253р.</w:t>
      </w:r>
    </w:p>
    <w:p w:rsidR="00C14C7F" w:rsidRPr="00317548" w:rsidRDefault="00625370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Местные нормативы включают в себя расчетные показатели минимально допустимого уровня обеспеченности объектами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hyperlink r:id="rId15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частью 4 статьи 29.2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кодекса, населения 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(далее - расчетные показатели), материалы по обоснованию указанных расчетных показателей, а также </w:t>
      </w:r>
      <w:r w:rsidR="00300194" w:rsidRPr="00317548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область применения таких показателей.</w:t>
      </w:r>
      <w:proofErr w:type="gramEnd"/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7D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317548">
        <w:rPr>
          <w:rFonts w:ascii="Times New Roman" w:hAnsi="Times New Roman" w:cs="Times New Roman"/>
          <w:sz w:val="28"/>
          <w:szCs w:val="28"/>
        </w:rPr>
        <w:t xml:space="preserve">2.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Основная часть. </w:t>
      </w: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</w:t>
      </w:r>
    </w:p>
    <w:p w:rsidR="007C699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объектами местного значения </w:t>
      </w:r>
      <w:r w:rsidR="00571396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для населения г. Зеленогорска</w:t>
      </w:r>
    </w:p>
    <w:p w:rsidR="00C14C7F" w:rsidRPr="00317548" w:rsidRDefault="00C14C7F" w:rsidP="00A6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E835DD" w:rsidP="006E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</w:t>
      </w:r>
      <w:r w:rsidR="006E64EB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г. Зеленогорска представлены в таблице 1. 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4C7F" w:rsidRPr="00317548" w:rsidSect="00FE2330">
          <w:pgSz w:w="11906" w:h="16838"/>
          <w:pgMar w:top="1134" w:right="566" w:bottom="993" w:left="1133" w:header="0" w:footer="0" w:gutter="0"/>
          <w:cols w:space="720"/>
          <w:noEndnote/>
        </w:sectPr>
      </w:pPr>
    </w:p>
    <w:tbl>
      <w:tblPr>
        <w:tblW w:w="17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2268"/>
        <w:gridCol w:w="544"/>
        <w:gridCol w:w="42"/>
        <w:gridCol w:w="142"/>
        <w:gridCol w:w="962"/>
        <w:gridCol w:w="1146"/>
        <w:gridCol w:w="1146"/>
        <w:gridCol w:w="820"/>
        <w:gridCol w:w="820"/>
        <w:gridCol w:w="376"/>
        <w:gridCol w:w="588"/>
        <w:gridCol w:w="1230"/>
        <w:gridCol w:w="131"/>
        <w:gridCol w:w="1551"/>
        <w:gridCol w:w="19"/>
        <w:gridCol w:w="25"/>
        <w:gridCol w:w="2082"/>
        <w:gridCol w:w="283"/>
        <w:gridCol w:w="19"/>
        <w:gridCol w:w="1966"/>
      </w:tblGrid>
      <w:tr w:rsidR="007E632B" w:rsidRPr="00317548" w:rsidTr="00043DB4">
        <w:trPr>
          <w:gridAfter w:val="3"/>
          <w:wAfter w:w="2268" w:type="dxa"/>
          <w:trHeight w:val="478"/>
        </w:trPr>
        <w:tc>
          <w:tcPr>
            <w:tcW w:w="14804" w:type="dxa"/>
            <w:gridSpan w:val="18"/>
            <w:tcBorders>
              <w:bottom w:val="single" w:sz="4" w:space="0" w:color="auto"/>
            </w:tcBorders>
          </w:tcPr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1</w:t>
            </w:r>
          </w:p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7C6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норматива/группы нормативов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показателя, единицы измерения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Применение норматива (обязательное - О; рекомендуемое - Р)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местного значения, предназначенные для организации в границах городского округа электро-, тепл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 органов местного самоуправления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электроснабжения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5"/>
            <w:bookmarkEnd w:id="2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48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Электропотребление,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год на 1 человека</w:t>
            </w:r>
          </w:p>
        </w:tc>
        <w:tc>
          <w:tcPr>
            <w:tcW w:w="47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Использование максимума электрической нагрузки, часов в год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48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102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2) жилыми домами, оборудованными стационарными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электроплитами (100% охвата):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  <w:trHeight w:val="50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D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3) индивидуальными жилыми домами (без кондиционеров):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не оборудованными стационарными электроплитами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оборудованными стационарными электроплитами (100% охвата)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94"/>
            <w:bookmarkEnd w:id="3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Удельные расходы тепла на отопление жилых зданий при температуре воздуха наиболее холодной пятидневки -40 °C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на 1 кв. м)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B54E6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здания, этажность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Удельные расходы тепла на отопление административных и общественных зданий при температуре воздуха 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t>наиболее холодной пятидневки - 40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°C (ккал на 1 кв. м)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и общественные здания, этажность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 и выше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горячей воды,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 общей/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полезной площади на 1 расчетную единицу, 1 кв. м/чел.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величина тепловой энергии,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/1 кв. м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дома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жилищно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t>й обеспеченностью (2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 кв. м/чел.)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умывальниками, мойками и душевыми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Гостиницы и пансионаты с душами во всех отдельных номерах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проживающий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Больницы с санитарными узлами, приближенными к палатам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Поликлиники и амбулатории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 в смену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892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="00892F13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 душевыми при гимнастических залах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625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25370" w:rsidRPr="00317548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комплексы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продовольственные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промтоварные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</w:tr>
      <w:tr w:rsidR="00317548" w:rsidRPr="00317548" w:rsidTr="00DD259C">
        <w:trPr>
          <w:gridAfter w:val="3"/>
          <w:wAfter w:w="2268" w:type="dxa"/>
          <w:trHeight w:val="677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9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обеспеченности сжиженным углеводородным газом (газоснабжение привозным газом через групповые емкости) 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B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газа </w:t>
            </w:r>
          </w:p>
          <w:p w:rsidR="001D7606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(кг на 1 человека </w:t>
            </w:r>
            <w:proofErr w:type="gramEnd"/>
          </w:p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  <w:trHeight w:val="336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0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33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A62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25"/>
            <w:bookmarkEnd w:id="4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DF5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показатели </w:t>
            </w:r>
            <w:r w:rsidR="00DF5850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водопотребления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помещениях с учетом фактических показателей водоснабжения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39648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</w:t>
            </w:r>
            <w:r w:rsidR="002650B8" w:rsidRPr="00317548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литров в сутки на 1 человека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>нными внутренним водопроводом без канализации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>, оборудованные холодным водоснабжением через водоразборные колонки</w:t>
            </w:r>
            <w:proofErr w:type="gramEnd"/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A1C55" w:rsidRPr="0031754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47"/>
            <w:bookmarkEnd w:id="5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водоотведения, литров в сутки на 1 человека (куб. м в месяц на 1 человека)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без канализации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113D0A" w:rsidRPr="00317548">
              <w:rPr>
                <w:rFonts w:ascii="Times New Roman" w:hAnsi="Times New Roman" w:cs="Times New Roman"/>
                <w:sz w:val="24"/>
                <w:szCs w:val="24"/>
              </w:rPr>
              <w:t>, оборудованные холодным водоснабжением через водоразборные колонки</w:t>
            </w:r>
            <w:proofErr w:type="gramEnd"/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в границах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обеспеченности территорией улично-дорожной сети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улично-дорожной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сетью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Плотность улично-дорожной сети  - 1,24 км/кв. км 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улично-дорожной сети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тротуарами и пешеходными дорожками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тротуарами и пешеходными дорожками, наименьшая ширина пешеходной части, тротуара&lt;*&gt;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2,0 м на автомобильных дорогах местного значения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--------------------------------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В условиях реконструкции автомобильных дорог местного значения, а также при расчетном пешеходном движении менее 50 чел./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обоих направлениях допускается устройство тротуара и дорожек шириной 1 м.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тротуарами и пешеходными дорожками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пешеходными переходами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пешеходными переходами, интервал размещения пешеходных переходов,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чем через 200 м друг от друга в одном уровне с проезжей частью автомобильных дорог местного значения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пешеходных переходов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транспортного обслуживания населения в границах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03"/>
            <w:bookmarkEnd w:id="7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сооружениями и устройствами для хранения и обслуживания транспортных средств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открытыми стоянками для временного хранения легковых автомобилей 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Открытые стоянки для временного хранения легковых автомобилей предусматриваются из расчета не менее чем для 70% расчетного парка индивидуальных легковых автомобилей, в том числе: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районах – 35%;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промышленных и коммунально-складских зонах – 15%;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общегородских центрах – 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зонах массового кратковременного отдыха – 15%.</w:t>
            </w:r>
          </w:p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доступности парковок для проектируемого жилого дома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(жилого комплекса)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800 м/8 мин. в зонах жилой застройки,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в радиусе не более 50 м/2 мин. от входов в жилые дома до стоянки для хранения автомобилей и других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принадлежащих инвалидам</w:t>
            </w:r>
            <w:r w:rsidRPr="00317548">
              <w:t>.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3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4A" w:rsidRDefault="003E5C4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для расчета количества парковок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 операционными залами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без операционных залов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55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комплексы многофункциональные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4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определяется (суммируется) исходя из планируемых видов объектов различного назначения, входящих в состав многофункционального здания (комплекса), и параметров объектов различного назначения данного здания (комплекса)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Здания судов общей юрисдикции (городской суд, мировые судьи):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работников суда;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посетителей;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служебного автотранспорта работников 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 на 10 работников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1,4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-места на одного судью (с округлением до целого числа)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сооружения следственных органов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сотрудников, количество парковок для посетителей определяется заданием на проектирование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166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2 преподавателей и сотрудника плюс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студентов, занятых в одну смену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 преподавателей, занятых в одну смену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здания, коммунально-складские объекты, размещаемые в составе многофункциональных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6 работающих в двух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смежных сменах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160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1000 работающих в двух смежных сменах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посадочных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бани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ателье, фотосалоны, салоны-парикмахерские, салоны красоты, солярии, свадебные салоны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салоны ритуальных услуг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химчистки, прачечные, ремонтные мастерские, специализированные центры по обслуживанию сложной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бытовой техники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1 рабочее место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приемщика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378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обслуживающего персонала гостиниц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9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инвалидов (индивидуальная стоянка) для гостиниц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20% числа номеров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менее10% от числа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5% от общего числа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(но не менее 2)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Музеи, выставочные залы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Дворцы культуры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зрительских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зрительских мест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Библиотеки, интернет-кафе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постоянных мест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83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религиозных конфессий 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8 единовременных посетителей, но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объект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 учреждения: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развлекательные центры, дискотеки, залы игровых автоматов, ночные клубы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бильярдные, боулинги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3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единовременных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посетителя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помещения медицинских организаций: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стационары городского значения (больницы, диспансеры, родильные дома)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коек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поликлиники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6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4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посещений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мест на трибунах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менее 1000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1000 кв. м и более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2B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уровня обслуживания: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тренажерные залы площадью 150 - 500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площадью 1000 - 2000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и бассейном общей площадью 2000 - 3000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 (шахматы, теннис, конный спорт, горнолыжные центры)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Бассейны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 общей площадью более 3000 кв. м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Пляжи и парки в зонах отдыха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Базы кратковременного отдыха (спортивные, лыжные)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15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торговли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мест в залах или единовременных посетителей и персонала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доступности местами для парковки транспортных средств работников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посетителей объектов различного функционального назначения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150 м/3 мин. от входов в объекты торговли с общей площадью торгового зала более 400 кв.м и объекты общественного питания (рестораны, кафе);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250 м/5 мин. от входов в объекты обслуживания населения и административные здания;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400 м/8 мин. от входов в парки, скверы, на выставки и стадионы.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объектами обслуживания автомобильного транспорта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объектами транспортного обслуживания: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станции технического обслуживания;</w:t>
            </w:r>
          </w:p>
        </w:tc>
        <w:tc>
          <w:tcPr>
            <w:tcW w:w="9517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поста на 200 автомобилей;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автозаправочные станции</w:t>
            </w:r>
          </w:p>
        </w:tc>
        <w:tc>
          <w:tcPr>
            <w:tcW w:w="951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колонка на 1200 автомобилей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объектов обслуживания автомобильного транспорта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остановками общественного пассажирского транспорта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остановками общественного пассажирского транспорта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остановок общественного пассажирского транспорта в различных функциональных зонах</w:t>
            </w: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Функциональная зона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для усадебной (индивидуальной) застройки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600/10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общественно-деловые зоны на территории общегородского центра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и коммунально-складские зоны (от проходных организаций)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400/8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Зоны массового отдыха и спорта (от главного входа)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800/15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Расстояние между остановками общественного пассажирского транспорта по видам транспорта</w:t>
            </w: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остановками 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</w:t>
            </w:r>
          </w:p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400 - 600/8 - 10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540"/>
            <w:bookmarkEnd w:id="8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образовательных организаций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местами детей в возрасте от 1,5 до 7 лет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85 % мест от общего числа детей в возрасте от 1,5 до 7 лет</w:t>
            </w:r>
          </w:p>
          <w:p w:rsidR="00DD259C" w:rsidRPr="00317548" w:rsidRDefault="00DD259C" w:rsidP="000A0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- 300</w:t>
            </w:r>
            <w:r w:rsidR="00E14ADB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м/5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6,5 до 18 лет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100% мест от общего числа обучающихся в 1 - 9 классах 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 75% мест от общего числа обучающихся в 10 - 11 классах.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- 300 м/5 мин.</w:t>
            </w:r>
          </w:p>
          <w:p w:rsidR="00DD259C" w:rsidRPr="00317548" w:rsidRDefault="00DD259C" w:rsidP="00C7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10% мест организации дополнительного образования от общего числа обучающихся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от остановки общественного транспорта - 600 м/10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607"/>
            <w:bookmarkEnd w:id="9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физкультурных занятий и тренировок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70 - 80 кв. м общей площади помещений для физкультурных занятий и тренировок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- 600 м/10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залы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350 кв. м общей площади физкультурно-спортивных залов 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– 450 м/от 5-10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75 кв. м зеркала воды плавательных бассейнов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Плоскостные сооружения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1950 кв. м общей площади плоскостных сооружений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E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1B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библиотеки на 20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 км/1 ч, свыше 3 км  -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библиотеки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D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детской библиотеки, если численность детей до 14 лет составляет не менее   10 тыс. чел. &lt;*&gt;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--------------------------------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при условии меньшей численности детского населения детская библиотека действует в составе общедоступной библиотеки как филиал или структурное подразделение общедоступной библиотеки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Точка доступа к полнотекстовым информационным ресурсам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47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 точек доступа к полнотекстовым информационным ресурсам независимо от количества населения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7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 км/1 ч, свыше 3 км  -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организаций культуры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культурно-досуговой деятельности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50 - 60 кв. м площади пола помещения для культурно-досуговой деятельности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 зрительских мест в учреждении культуры клубного типа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учреждения культуры клубного типа на 20 тыс. чел.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 музеев на городской округ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парка культуры и отдыха на 30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кинотеатра на городской округ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D0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зоопарк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Универсальные спортивно-зрелищные залы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6-9 мест в универсальном спортивно-зрелищном зале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C1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ритуальных услуг, кладбищ (мест погребений) на территории городского округа</w:t>
            </w:r>
          </w:p>
        </w:tc>
        <w:tc>
          <w:tcPr>
            <w:tcW w:w="2268" w:type="dxa"/>
            <w:gridSpan w:val="3"/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Общественные кладбища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0,24 га территории кладбища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от остановки общественного транспорта до главного входа –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150 м/3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благоустройства территории, рекреационные объекты городского округа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территориями рекреационного назначения, озелененными территориями общего пользования&lt;*&gt;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Суммарная площадь озелененных территорий общего пользования г. Зеленогорска (парков, садов, скверов, бульваров) должна составлять не менее 13 кв. м/чел. (7 кв. м/чел. общегородских озелененных территорий общего пользования и 6 кв. м/чел. озелененных территорий общего пользования жилой застройки)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&lt;*&gt;площадь озелененных территорий общего пользования допускается уменьшать, но не более чем на 20%, учитывая расположение городского округа в окружении лесов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не более 1350 м/20 мин.</w:t>
            </w:r>
          </w:p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Мусоросборники (контейнеры)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 числа устанавливаемых контейнеров для мусора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Необходимое число устанавливаемых контейнеров для мусора рассчитывается по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формуле: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Бконт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t К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/ (365 V) &lt;*&gt;,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/>
            <w:bookmarkEnd w:id="10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 годовое накопление отходов, куб. м;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t - периодичность удаления отходов,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 неравномерности отходов, равный 1,25;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V - вместимость контейнера.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Для определения числа устанавливаемых мусоросборников (контейнеров) следует исходить из численности населения, пользующегося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площадки для установки  контейнеров не более 100 м/2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859"/>
            <w:bookmarkEnd w:id="11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фонд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общей площади жилых помещений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на каждого члена семьи;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для одиноко проживающего гражданина.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Для специализированного жилищного фонда: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служебных жилых помещений - не менее 15,0 кв. м общей площади жилого помещения на одного человека, имеющего право на предоставление служебного жилого помещения специализированного жилищного фонда;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в общежитиях - не менее 6,0 кв. м площади жилого помещения на одного человека, имеющего право на предоставление жилых помещений в общежитиях, относящихся к специализированному жилищному фонду;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маневренного фонда - не менее 6 кв. м площади жилого помещения на одного человека, имеющего право на предоставление жилых помещений маневренного фонда специализированного жилищного фонда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нормируется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архива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885"/>
            <w:bookmarkEnd w:id="12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иного назначения, предназначенные для оказания услуг торговли, общественного питания и бытового обслуживания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торговли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502,73 кв. м площади стационарных торговых объектов на 1 тыс. чел.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(в том числе не менее 164,29 кв. м площади стационарных торговых объектов по продаже продовольственных товаров и не менее 338,44 кв. м площади стационарных торговых объектов по продаже непродовольственных товаров), не менее 163 объекта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6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торговых объектов - 300 м/5 мин.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40 мест объектов общественного питания на 1 тыс. чел.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–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9 мест предприятия бытового обслуживания на 1 тыс. чел.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- 450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социального обслуживания для граждан, признанных нуждающимися в социальном обслуживании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Комплексные центры (центры) социального обслуживания населения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комплексного центра социального обслуживания населения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(кризисные центры) социальной помощи семье, женщинам и детям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центра социальной помощи семье, женщинам и детям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- 300 м/5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  <w:trHeight w:val="2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Реабилитационные центры для детей и подростков с ограниченными возможностями здоровья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реабилитационного центра на 1 тыс. детей с ограниченными возможностями здоровья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- 300 м/5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Социальные приюты для детей и подростков (социально-реабилитационные центры для несовершеннолетних)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социального приюта для детей и подростков на 10 тыс. детей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14C7F" w:rsidRPr="00317548" w:rsidSect="004C240A">
          <w:pgSz w:w="16838" w:h="11906" w:orient="landscape"/>
          <w:pgMar w:top="851" w:right="1440" w:bottom="709" w:left="1440" w:header="0" w:footer="0" w:gutter="0"/>
          <w:cols w:space="720"/>
          <w:noEndnote/>
        </w:sectPr>
      </w:pPr>
      <w:bookmarkStart w:id="13" w:name="Par970"/>
      <w:bookmarkEnd w:id="13"/>
    </w:p>
    <w:p w:rsidR="00175792" w:rsidRPr="00317548" w:rsidRDefault="00175792" w:rsidP="00A66BB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3. Материалы по обоснованию расчетных показателей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Расчетные показатели определены в соответствии 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Региональными нормативами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 w:rsidRPr="00317548">
        <w:rPr>
          <w:rFonts w:ascii="Times New Roman" w:hAnsi="Times New Roman" w:cs="Times New Roman"/>
          <w:sz w:val="28"/>
          <w:szCs w:val="28"/>
        </w:rPr>
        <w:t>в рамках Стратегии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Зеленогорска на период до 2030 года, утвержденной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30.08.2018 № 57-301р (далее - Стратегия)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 </w:t>
      </w:r>
      <w:r w:rsidRPr="00317548">
        <w:rPr>
          <w:rFonts w:ascii="Times New Roman" w:hAnsi="Times New Roman" w:cs="Times New Roman"/>
          <w:sz w:val="28"/>
          <w:szCs w:val="28"/>
        </w:rPr>
        <w:t>учетом данных прогнозов по демографии населения г. Зеленогорска.</w:t>
      </w:r>
    </w:p>
    <w:p w:rsidR="00B150B4" w:rsidRPr="00317548" w:rsidRDefault="00431C2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Город Зеленогорск является закрытым административно-территориальным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317548">
        <w:rPr>
          <w:rFonts w:ascii="Times New Roman" w:hAnsi="Times New Roman" w:cs="Times New Roman"/>
          <w:sz w:val="28"/>
          <w:szCs w:val="28"/>
        </w:rPr>
        <w:t xml:space="preserve">м и входит в состав </w:t>
      </w:r>
      <w:r w:rsidR="00C14C7F" w:rsidRPr="0031754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317548">
        <w:rPr>
          <w:rFonts w:ascii="Times New Roman" w:hAnsi="Times New Roman" w:cs="Times New Roman"/>
          <w:sz w:val="28"/>
          <w:szCs w:val="28"/>
        </w:rPr>
        <w:t xml:space="preserve">. Вся территория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является территорий муниципального образования со статусом городского округа. </w:t>
      </w:r>
    </w:p>
    <w:p w:rsidR="00C14C7F" w:rsidRPr="00317548" w:rsidRDefault="00C14C7F" w:rsidP="00B4216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31C26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F10E7" w:rsidRPr="00317548">
        <w:rPr>
          <w:rFonts w:ascii="Times New Roman" w:hAnsi="Times New Roman" w:cs="Times New Roman"/>
          <w:sz w:val="28"/>
          <w:szCs w:val="28"/>
        </w:rPr>
        <w:t xml:space="preserve">составляет 16 208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га. Расположен город в центральной части Красноярского края на территории Рыбинского района, на левом берегу реки Кан, в устье реки </w:t>
      </w:r>
      <w:proofErr w:type="spellStart"/>
      <w:r w:rsidR="00B150B4" w:rsidRPr="00317548">
        <w:rPr>
          <w:rFonts w:ascii="Times New Roman" w:hAnsi="Times New Roman" w:cs="Times New Roman"/>
          <w:sz w:val="28"/>
          <w:szCs w:val="28"/>
        </w:rPr>
        <w:t>Барга</w:t>
      </w:r>
      <w:proofErr w:type="spellEnd"/>
      <w:r w:rsidR="00B150B4" w:rsidRPr="00317548">
        <w:rPr>
          <w:rFonts w:ascii="Times New Roman" w:hAnsi="Times New Roman" w:cs="Times New Roman"/>
          <w:sz w:val="28"/>
          <w:szCs w:val="28"/>
        </w:rPr>
        <w:t>. Численн</w:t>
      </w:r>
      <w:r w:rsidR="00B42168" w:rsidRPr="00317548">
        <w:rPr>
          <w:rFonts w:ascii="Times New Roman" w:hAnsi="Times New Roman" w:cs="Times New Roman"/>
          <w:sz w:val="28"/>
          <w:szCs w:val="28"/>
        </w:rPr>
        <w:t>ость населения на начало 2019 года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 xml:space="preserve"> составляла 61 915 человек.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огласно Стратегии к 2030 году 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численность населения должна составить 65 </w:t>
      </w:r>
      <w:r w:rsidR="00B150B4" w:rsidRPr="00317548">
        <w:rPr>
          <w:rFonts w:ascii="Times New Roman" w:hAnsi="Times New Roman" w:cs="Times New Roman"/>
          <w:sz w:val="28"/>
          <w:szCs w:val="28"/>
        </w:rPr>
        <w:t>6</w:t>
      </w:r>
      <w:r w:rsidR="00B42168" w:rsidRPr="00317548">
        <w:rPr>
          <w:rFonts w:ascii="Times New Roman" w:hAnsi="Times New Roman" w:cs="Times New Roman"/>
          <w:sz w:val="28"/>
          <w:szCs w:val="28"/>
        </w:rPr>
        <w:t>00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Прогноз численности населения</w:t>
      </w:r>
      <w:r w:rsidR="00494BD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в 2030 году </w:t>
      </w:r>
      <w:r w:rsidRPr="00317548">
        <w:rPr>
          <w:rFonts w:ascii="Times New Roman" w:hAnsi="Times New Roman" w:cs="Times New Roman"/>
          <w:sz w:val="28"/>
          <w:szCs w:val="28"/>
        </w:rPr>
        <w:t xml:space="preserve">базируется на сценарии </w:t>
      </w:r>
      <w:r w:rsidR="0096177B" w:rsidRPr="00317548">
        <w:rPr>
          <w:rFonts w:ascii="Times New Roman" w:hAnsi="Times New Roman" w:cs="Times New Roman"/>
          <w:sz w:val="28"/>
          <w:szCs w:val="28"/>
        </w:rPr>
        <w:t>Стратегии</w:t>
      </w:r>
      <w:r w:rsidR="00494BDC" w:rsidRPr="00317548">
        <w:rPr>
          <w:rFonts w:ascii="Times New Roman" w:hAnsi="Times New Roman" w:cs="Times New Roman"/>
          <w:sz w:val="28"/>
          <w:szCs w:val="28"/>
        </w:rPr>
        <w:t>, который</w:t>
      </w:r>
      <w:r w:rsidR="0096177B" w:rsidRPr="00317548">
        <w:rPr>
          <w:rFonts w:ascii="Times New Roman" w:hAnsi="Times New Roman" w:cs="Times New Roman"/>
          <w:sz w:val="28"/>
          <w:szCs w:val="28"/>
        </w:rPr>
        <w:t xml:space="preserve"> предусматривает снижение миграционного оттока населения и развитие социальной политики, направленной на улучшение демографических показателей, а также на создан</w:t>
      </w:r>
      <w:r w:rsidR="002831C3" w:rsidRPr="00317548">
        <w:rPr>
          <w:rFonts w:ascii="Times New Roman" w:hAnsi="Times New Roman" w:cs="Times New Roman"/>
          <w:sz w:val="28"/>
          <w:szCs w:val="28"/>
        </w:rPr>
        <w:t>ие комфортных условий проживани</w:t>
      </w:r>
      <w:r w:rsidR="0096177B" w:rsidRPr="00317548">
        <w:rPr>
          <w:rFonts w:ascii="Times New Roman" w:hAnsi="Times New Roman" w:cs="Times New Roman"/>
          <w:sz w:val="28"/>
          <w:szCs w:val="28"/>
        </w:rPr>
        <w:t>я в городе.</w:t>
      </w:r>
    </w:p>
    <w:p w:rsidR="002831C3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Стратегией п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рогнозируется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 2030 году </w:t>
      </w:r>
      <w:r w:rsidR="005B0480" w:rsidRPr="00317548">
        <w:rPr>
          <w:rFonts w:ascii="Times New Roman" w:hAnsi="Times New Roman" w:cs="Times New Roman"/>
          <w:sz w:val="28"/>
          <w:szCs w:val="28"/>
        </w:rPr>
        <w:t>увеличение рождаемости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в                             г. Зеленогорске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863704" w:rsidRPr="00317548">
        <w:rPr>
          <w:rFonts w:ascii="Times New Roman" w:hAnsi="Times New Roman" w:cs="Times New Roman"/>
          <w:sz w:val="28"/>
          <w:szCs w:val="28"/>
        </w:rPr>
        <w:t>будет составлять 11,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7% на 1 000 чел. населения. </w:t>
      </w:r>
      <w:r w:rsidR="00C14C7F" w:rsidRPr="00317548">
        <w:rPr>
          <w:rFonts w:ascii="Times New Roman" w:hAnsi="Times New Roman" w:cs="Times New Roman"/>
          <w:sz w:val="28"/>
          <w:szCs w:val="28"/>
        </w:rPr>
        <w:t>Предполагается снижение уровня смертности за счет модернизации и развития системы здравоохранения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в соответствии с национальным проектом «Здравоохранение»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753032" w:rsidRPr="00317548">
        <w:rPr>
          <w:rFonts w:ascii="Times New Roman" w:hAnsi="Times New Roman" w:cs="Times New Roman"/>
          <w:sz w:val="28"/>
          <w:szCs w:val="28"/>
        </w:rPr>
        <w:t>Численность трудоспособного населения, занятого в экономике города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к 2030 году увеличится на 16%.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Прогнозируемые уровни рождаемости и смертности приведут к естественному приросту населения. Влияние на ход демографических процессов в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317548">
        <w:rPr>
          <w:rFonts w:ascii="Times New Roman" w:hAnsi="Times New Roman" w:cs="Times New Roman"/>
          <w:sz w:val="28"/>
          <w:szCs w:val="28"/>
        </w:rPr>
        <w:t xml:space="preserve">планируется повысить за счет привлекательности </w:t>
      </w:r>
      <w:r w:rsidR="00DF4B3F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>для притока граждан с целью постоянного проживания путем внедрения на территории</w:t>
      </w:r>
      <w:r w:rsidR="00A16533" w:rsidRPr="00317548">
        <w:rPr>
          <w:rFonts w:ascii="Times New Roman" w:hAnsi="Times New Roman" w:cs="Times New Roman"/>
          <w:sz w:val="28"/>
          <w:szCs w:val="28"/>
        </w:rPr>
        <w:t xml:space="preserve"> сектора высокотехнологических производств, объединяющих инновационные преобразования в традиционных отраслях и создание новых отраслей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утверждаются для объектов местного значения, перечисленных в </w:t>
      </w:r>
      <w:hyperlink w:anchor="Par44" w:history="1">
        <w:r w:rsidRPr="00317548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0" w:history="1">
        <w:r w:rsidRPr="0031754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нормативов.</w:t>
      </w:r>
    </w:p>
    <w:p w:rsidR="00863704" w:rsidRPr="00317548" w:rsidRDefault="00863704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 количества и параметров объектов социального и коммунально-бытового назначения необходимо осуществлять преимущественно на постоянное население.</w:t>
      </w:r>
    </w:p>
    <w:p w:rsidR="00863704" w:rsidRPr="00317548" w:rsidRDefault="001A704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Численность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863704"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по состоянию на 01.01.2019 представлен</w:t>
      </w:r>
      <w:r w:rsidRPr="00317548">
        <w:rPr>
          <w:rFonts w:ascii="Times New Roman" w:hAnsi="Times New Roman" w:cs="Times New Roman"/>
          <w:sz w:val="28"/>
          <w:szCs w:val="28"/>
        </w:rPr>
        <w:t>а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в таблице 2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863704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7120" w:rsidRPr="00317548" w:rsidRDefault="00B47120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4688" w:rsidRPr="00317548" w:rsidRDefault="00C24688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94BDC" w:rsidRPr="00317548" w:rsidRDefault="00494BDC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05B27" w:rsidRPr="00317548" w:rsidRDefault="00005B27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Распределение численности населения 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на 01.01.2019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417"/>
        <w:gridCol w:w="1418"/>
        <w:gridCol w:w="1417"/>
        <w:gridCol w:w="1418"/>
        <w:gridCol w:w="1417"/>
      </w:tblGrid>
      <w:tr w:rsidR="00C14C7F" w:rsidRPr="00317548" w:rsidTr="001A7046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</w:t>
            </w:r>
            <w:r w:rsidR="001A7046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В том числе по основным возрастным группам, тыс. человек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Доля возрастных групп в общей численности населения, процентов</w:t>
            </w:r>
          </w:p>
        </w:tc>
      </w:tr>
      <w:tr w:rsidR="001A7046" w:rsidRPr="00317548" w:rsidTr="001A7046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лет, женщины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 и более лет, женщины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</w:tr>
      <w:tr w:rsidR="00C14C7F" w:rsidRPr="00317548" w:rsidTr="001A704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1A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61,915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10,575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37,008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14,332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23,15</w:t>
            </w:r>
          </w:p>
        </w:tc>
      </w:tr>
    </w:tbl>
    <w:p w:rsidR="00B42168" w:rsidRPr="00317548" w:rsidRDefault="00B42168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800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16749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Объекты местного значения, предназначенные </w:t>
      </w: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для организации электро-, тепл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>, газо- и водоснаб</w:t>
      </w:r>
      <w:r w:rsidR="00167495" w:rsidRPr="00317548">
        <w:rPr>
          <w:rFonts w:ascii="Times New Roman" w:hAnsi="Times New Roman" w:cs="Times New Roman"/>
          <w:sz w:val="28"/>
          <w:szCs w:val="28"/>
        </w:rPr>
        <w:t>жения населения, водоотведения г. Зеленогорска</w:t>
      </w:r>
    </w:p>
    <w:p w:rsidR="00A35800" w:rsidRPr="00317548" w:rsidRDefault="00A35800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FD43D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3.1.1. Объекты электроснабжения.</w:t>
      </w:r>
    </w:p>
    <w:p w:rsidR="00A66BB5" w:rsidRPr="00317548" w:rsidRDefault="00594F15" w:rsidP="00A66BB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населения объектами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электроснабжения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определены в соответствии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78 Региональных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с учетом коэффициента 0,9, установленного пунктом 16.1 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82BDD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A66BB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, сводом</w:t>
      </w:r>
      <w:r w:rsidR="001304F0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16" w:history="1">
        <w:r w:rsidR="001304F0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1304F0" w:rsidRPr="00317548">
        <w:rPr>
          <w:rFonts w:ascii="Times New Roman" w:hAnsi="Times New Roman" w:cs="Times New Roman"/>
          <w:sz w:val="28"/>
          <w:szCs w:val="28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 2.07.01-89*» (далее – свод правил СП 42.13330.2016)</w:t>
      </w:r>
      <w:r w:rsidR="00A66BB5" w:rsidRPr="00317548">
        <w:rPr>
          <w:rFonts w:ascii="Times New Roman" w:hAnsi="Times New Roman" w:cs="Times New Roman"/>
          <w:sz w:val="28"/>
          <w:szCs w:val="28"/>
        </w:rPr>
        <w:t>. Данные показатели являются рекомендательными в связи с возможностью их снижения путем проведения мероприятий по энергосбережению.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 электроэнергии и потребность в мощности источников определяется: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производственных и сельскохозяйственных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317548">
        <w:rPr>
          <w:rFonts w:ascii="Times New Roman" w:hAnsi="Times New Roman" w:cs="Times New Roman"/>
          <w:sz w:val="28"/>
          <w:szCs w:val="28"/>
        </w:rPr>
        <w:t xml:space="preserve">- по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заявкам </w:t>
      </w:r>
      <w:r w:rsidRPr="00317548">
        <w:rPr>
          <w:rFonts w:ascii="Times New Roman" w:hAnsi="Times New Roman" w:cs="Times New Roman"/>
          <w:sz w:val="28"/>
          <w:szCs w:val="28"/>
        </w:rPr>
        <w:t>действующих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проектам новых, реконструируемых или аналогичных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>организаций</w:t>
      </w:r>
      <w:r w:rsidRPr="00317548">
        <w:rPr>
          <w:rFonts w:ascii="Times New Roman" w:hAnsi="Times New Roman" w:cs="Times New Roman"/>
          <w:sz w:val="28"/>
          <w:szCs w:val="28"/>
        </w:rPr>
        <w:t>, а также по укрупненным показателям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с учетом местных особенностей</w:t>
      </w:r>
      <w:r w:rsidRPr="00317548">
        <w:rPr>
          <w:rFonts w:ascii="Times New Roman" w:hAnsi="Times New Roman" w:cs="Times New Roman"/>
          <w:sz w:val="28"/>
          <w:szCs w:val="28"/>
        </w:rPr>
        <w:t>;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жилищно-коммунального сектора - в соответствии с </w:t>
      </w:r>
      <w:hyperlink r:id="rId17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по проектированию городских электрических сетей. РД 34.20.185-94, утвержденной М</w:t>
      </w:r>
      <w:r w:rsidR="003A3B93" w:rsidRPr="00317548">
        <w:rPr>
          <w:rFonts w:ascii="Times New Roman" w:hAnsi="Times New Roman" w:cs="Times New Roman"/>
          <w:sz w:val="28"/>
          <w:szCs w:val="28"/>
        </w:rPr>
        <w:t>ин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3A3B93" w:rsidRPr="00317548">
        <w:rPr>
          <w:rFonts w:ascii="Times New Roman" w:hAnsi="Times New Roman" w:cs="Times New Roman"/>
          <w:sz w:val="28"/>
          <w:szCs w:val="28"/>
        </w:rPr>
        <w:t>топ</w:t>
      </w:r>
      <w:r w:rsidR="002B2589" w:rsidRPr="00317548">
        <w:rPr>
          <w:rFonts w:ascii="Times New Roman" w:hAnsi="Times New Roman" w:cs="Times New Roman"/>
          <w:sz w:val="28"/>
          <w:szCs w:val="28"/>
        </w:rPr>
        <w:t>лива и энергетики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A3B93" w:rsidRPr="00317548">
        <w:rPr>
          <w:rFonts w:ascii="Times New Roman" w:hAnsi="Times New Roman" w:cs="Times New Roman"/>
          <w:sz w:val="28"/>
          <w:szCs w:val="28"/>
        </w:rPr>
        <w:t>Ф</w:t>
      </w:r>
      <w:r w:rsidR="002B2589" w:rsidRPr="00317548">
        <w:rPr>
          <w:rFonts w:ascii="Times New Roman" w:hAnsi="Times New Roman" w:cs="Times New Roman"/>
          <w:sz w:val="28"/>
          <w:szCs w:val="28"/>
        </w:rPr>
        <w:t>едерации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07.07.1994,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оссийским акционерным обществом энергетики и электрификации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>«ЕЭС России»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31.05.1994 (далее - Инструкция РД 34.20.185-94), </w:t>
      </w:r>
      <w:hyperlink r:id="rId18" w:history="1">
        <w:r w:rsidRPr="00317548">
          <w:rPr>
            <w:rFonts w:ascii="Times New Roman" w:hAnsi="Times New Roman" w:cs="Times New Roman"/>
            <w:sz w:val="28"/>
            <w:szCs w:val="28"/>
          </w:rPr>
          <w:t>сводом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правил СП 256.</w:t>
      </w:r>
      <w:r w:rsidR="00167495" w:rsidRPr="00317548">
        <w:rPr>
          <w:rFonts w:ascii="Times New Roman" w:hAnsi="Times New Roman" w:cs="Times New Roman"/>
          <w:sz w:val="28"/>
          <w:szCs w:val="28"/>
        </w:rPr>
        <w:t>1325800.2016 «</w:t>
      </w:r>
      <w:r w:rsidRPr="00317548">
        <w:rPr>
          <w:rFonts w:ascii="Times New Roman" w:hAnsi="Times New Roman" w:cs="Times New Roman"/>
          <w:sz w:val="28"/>
          <w:szCs w:val="28"/>
        </w:rPr>
        <w:t>Электроустановки жилых и общественных зданий. П</w:t>
      </w:r>
      <w:r w:rsidR="00167495" w:rsidRPr="00317548">
        <w:rPr>
          <w:rFonts w:ascii="Times New Roman" w:hAnsi="Times New Roman" w:cs="Times New Roman"/>
          <w:sz w:val="28"/>
          <w:szCs w:val="28"/>
        </w:rPr>
        <w:t>равила проектирования и монтажа»</w:t>
      </w:r>
      <w:r w:rsidRPr="00317548">
        <w:rPr>
          <w:rFonts w:ascii="Times New Roman" w:hAnsi="Times New Roman" w:cs="Times New Roman"/>
          <w:sz w:val="28"/>
          <w:szCs w:val="28"/>
        </w:rPr>
        <w:t>, а также с учетом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Для уточнения расчетных нагрузок жилых и общественных зданий следует руководствоваться </w:t>
      </w:r>
      <w:hyperlink r:id="rId19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РД 34.20.185-94.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75040B" w:rsidRPr="00317548">
        <w:rPr>
          <w:rFonts w:ascii="Times New Roman" w:hAnsi="Times New Roman" w:cs="Times New Roman"/>
          <w:sz w:val="28"/>
          <w:szCs w:val="28"/>
        </w:rPr>
        <w:t>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электроснабжения не нормируется, поскольку зависит от расположения центров нагрузок и центров питания и определяется при проведении проектных работ в каждом конкретном случае. Линейные объекты электроснабжения являются инфраструктурными и должны быть построены к объектам капитального строительства и помещениям каждого потребителя.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3.1.2. Объекты теплоснабжения</w:t>
      </w:r>
      <w:r w:rsidR="004A1BF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06538" w:rsidRPr="00317548" w:rsidRDefault="00F06538" w:rsidP="00F0653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теплоснабжения зданий (удельные расходы тепла на отопление жилых</w:t>
      </w:r>
      <w:r w:rsidR="0075040B" w:rsidRPr="00317548">
        <w:rPr>
          <w:rFonts w:ascii="Times New Roman" w:hAnsi="Times New Roman" w:cs="Times New Roman"/>
          <w:sz w:val="28"/>
          <w:szCs w:val="28"/>
        </w:rPr>
        <w:t>, административных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общественных зданий) принят</w:t>
      </w:r>
      <w:r w:rsidR="0075040B" w:rsidRPr="00317548">
        <w:rPr>
          <w:rFonts w:ascii="Times New Roman" w:hAnsi="Times New Roman" w:cs="Times New Roman"/>
          <w:sz w:val="28"/>
          <w:szCs w:val="28"/>
        </w:rPr>
        <w:t>ы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594F1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часовые расходы тепла, при отсутствии проектов отопления, вентиляции и горячего водоснабжения жилых, административных и общественных зданий и сооружений, определя</w:t>
      </w:r>
      <w:r w:rsidR="00594F15" w:rsidRPr="00317548">
        <w:rPr>
          <w:rFonts w:ascii="Times New Roman" w:hAnsi="Times New Roman" w:cs="Times New Roman"/>
          <w:sz w:val="28"/>
          <w:szCs w:val="28"/>
        </w:rPr>
        <w:t>ют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согласно </w:t>
      </w:r>
      <w:r w:rsidR="00F06538" w:rsidRPr="00317548">
        <w:rPr>
          <w:rFonts w:ascii="Times New Roman" w:hAnsi="Times New Roman" w:cs="Times New Roman"/>
          <w:sz w:val="28"/>
          <w:szCs w:val="28"/>
        </w:rPr>
        <w:t xml:space="preserve">своду правил </w:t>
      </w:r>
      <w:r w:rsidR="004A1BF3" w:rsidRPr="00317548">
        <w:rPr>
          <w:rFonts w:ascii="Times New Roman" w:hAnsi="Times New Roman" w:cs="Times New Roman"/>
          <w:sz w:val="28"/>
          <w:szCs w:val="28"/>
        </w:rPr>
        <w:t>СНиП 23-02-2003 «Тепловая защита зданий»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по укрупненным показателям р</w:t>
      </w:r>
      <w:r w:rsidR="00165DAF" w:rsidRPr="00317548">
        <w:rPr>
          <w:rFonts w:ascii="Times New Roman" w:hAnsi="Times New Roman" w:cs="Times New Roman"/>
          <w:sz w:val="28"/>
          <w:szCs w:val="28"/>
        </w:rPr>
        <w:t>асхода тепла, отнесенным к метру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165DAF" w:rsidRPr="00317548">
        <w:rPr>
          <w:rFonts w:ascii="Times New Roman" w:hAnsi="Times New Roman" w:cs="Times New Roman"/>
          <w:sz w:val="28"/>
          <w:szCs w:val="28"/>
        </w:rPr>
        <w:t xml:space="preserve">квадратному </w:t>
      </w:r>
      <w:r w:rsidRPr="00317548">
        <w:rPr>
          <w:rFonts w:ascii="Times New Roman" w:hAnsi="Times New Roman" w:cs="Times New Roman"/>
          <w:sz w:val="28"/>
          <w:szCs w:val="28"/>
        </w:rPr>
        <w:t>общей площади зданий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и сооружений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Удельные расходы горячей воды потребителями и удельная часовая величина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теплоты на ее нагрев определяется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06538" w:rsidRPr="00317548">
        <w:rPr>
          <w:rFonts w:ascii="Times New Roman" w:hAnsi="Times New Roman" w:cs="Times New Roman"/>
          <w:sz w:val="28"/>
          <w:szCs w:val="28"/>
        </w:rPr>
        <w:t>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6538" w:rsidRPr="00317548">
        <w:rPr>
          <w:rFonts w:ascii="Times New Roman" w:hAnsi="Times New Roman" w:cs="Times New Roman"/>
          <w:sz w:val="28"/>
          <w:szCs w:val="28"/>
        </w:rPr>
        <w:t>сводом</w:t>
      </w:r>
      <w:r w:rsidR="004A1BF3" w:rsidRPr="00317548">
        <w:rPr>
          <w:rFonts w:ascii="Times New Roman" w:hAnsi="Times New Roman" w:cs="Times New Roman"/>
          <w:sz w:val="28"/>
          <w:szCs w:val="28"/>
        </w:rPr>
        <w:t xml:space="preserve"> правил СП 124.13330.2012 «СНиП 41-02-2003 «Тепловые сети»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5094" w:rsidRPr="00317548">
        <w:rPr>
          <w:rFonts w:ascii="Times New Roman" w:hAnsi="Times New Roman" w:cs="Times New Roman"/>
          <w:sz w:val="28"/>
          <w:szCs w:val="28"/>
        </w:rPr>
        <w:t>СП 124.13330.2012</w:t>
      </w:r>
      <w:r w:rsidRPr="00317548">
        <w:rPr>
          <w:rFonts w:ascii="Times New Roman" w:hAnsi="Times New Roman" w:cs="Times New Roman"/>
          <w:sz w:val="28"/>
          <w:szCs w:val="28"/>
        </w:rPr>
        <w:t>). Данные показатели являются рекомендательными в связи с возможностью корректировки при выполнении энергосберегающих мероприятий и применении новейших технологий.</w:t>
      </w:r>
    </w:p>
    <w:p w:rsidR="00C14C7F" w:rsidRPr="00317548" w:rsidRDefault="0075040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теплоснабжения не нормируется, так как данные объекты являются инфраструктурными и должны быть построены к объектам капитального строительства и помещениям каждого потребителя. </w:t>
      </w: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3.1.3. Объекты газоснабжения.</w:t>
      </w:r>
    </w:p>
    <w:p w:rsidR="005A1C55" w:rsidRPr="00317548" w:rsidRDefault="006D217A" w:rsidP="00D965C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17548">
        <w:rPr>
          <w:rFonts w:ascii="Times New Roman" w:hAnsi="Times New Roman" w:cs="Times New Roman"/>
          <w:sz w:val="28"/>
          <w:szCs w:val="28"/>
        </w:rPr>
        <w:t>газоснабжением</w:t>
      </w:r>
      <w:r w:rsidR="005A1C5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79562F" w:rsidRPr="00317548">
        <w:rPr>
          <w:rFonts w:ascii="Times New Roman" w:hAnsi="Times New Roman" w:cs="Times New Roman"/>
          <w:sz w:val="28"/>
          <w:szCs w:val="28"/>
        </w:rPr>
        <w:t>приведены в соответствии с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315094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5A1C5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15094" w:rsidRPr="00317548">
        <w:rPr>
          <w:rFonts w:ascii="Times New Roman" w:hAnsi="Times New Roman" w:cs="Times New Roman"/>
          <w:sz w:val="28"/>
          <w:szCs w:val="28"/>
        </w:rPr>
        <w:t>, постановлением Правительства Красноярского края от 11.10.2016 № 523-п «Об утверждении нормативов потребления коммунальной услуги по газоснабжению на территории Красноярского края»</w:t>
      </w:r>
      <w:r w:rsidR="00D965C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0">
        <w:r w:rsidRPr="00317548">
          <w:rPr>
            <w:rFonts w:ascii="Times New Roman" w:hAnsi="Times New Roman" w:cs="Times New Roman"/>
            <w:sz w:val="28"/>
            <w:szCs w:val="28"/>
          </w:rPr>
          <w:t>свода правил</w:t>
        </w:r>
      </w:hyperlink>
      <w:hyperlink r:id="rId21">
        <w:r w:rsidRPr="0031754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7548">
        <w:rPr>
          <w:rFonts w:ascii="Times New Roman" w:hAnsi="Times New Roman" w:cs="Times New Roman"/>
          <w:sz w:val="28"/>
          <w:szCs w:val="28"/>
        </w:rPr>
        <w:t>«СНиП 42-01-2002 «Газораспределительные системы», при разработке генерального плана допускается принимать у</w:t>
      </w:r>
      <w:r w:rsidR="00AF3D6A" w:rsidRPr="00317548">
        <w:rPr>
          <w:rFonts w:ascii="Times New Roman" w:hAnsi="Times New Roman" w:cs="Times New Roman"/>
          <w:sz w:val="28"/>
          <w:szCs w:val="28"/>
        </w:rPr>
        <w:t xml:space="preserve">крупненные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AF3D6A" w:rsidRPr="00317548">
        <w:rPr>
          <w:rFonts w:ascii="Times New Roman" w:hAnsi="Times New Roman" w:cs="Times New Roman"/>
          <w:sz w:val="28"/>
          <w:szCs w:val="28"/>
        </w:rPr>
        <w:t>потребления газа, при температуре сгорания газа 34 МДж/куб.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 (8000 ккал/куб.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м)</w:t>
      </w:r>
      <w:r w:rsidRPr="00317548">
        <w:rPr>
          <w:rFonts w:ascii="Times New Roman" w:hAnsi="Times New Roman" w:cs="Times New Roman"/>
          <w:sz w:val="28"/>
          <w:szCs w:val="28"/>
        </w:rPr>
        <w:t>: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наличии централизованного горячего водоснабжения - 120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при горячем водоснабжении от газовых водонагревателей - 300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отсутствии всяких видов горячего водоснабжения – 180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>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965C6" w:rsidRPr="00317548" w:rsidRDefault="00D965C6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Расход газа на источники тепла </w:t>
      </w:r>
      <w:r w:rsidR="006E7DFC" w:rsidRPr="00317548">
        <w:rPr>
          <w:rFonts w:ascii="Times New Roman" w:hAnsi="Times New Roman" w:cs="Times New Roman"/>
          <w:sz w:val="28"/>
          <w:szCs w:val="28"/>
        </w:rPr>
        <w:t>учитывает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 </w:t>
      </w:r>
    </w:p>
    <w:p w:rsidR="00D965C6" w:rsidRPr="00317548" w:rsidRDefault="0075040B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D965C6" w:rsidRPr="00317548">
        <w:rPr>
          <w:rFonts w:ascii="Times New Roman" w:hAnsi="Times New Roman" w:cs="Times New Roman"/>
          <w:sz w:val="28"/>
          <w:szCs w:val="28"/>
        </w:rPr>
        <w:t>аксимально допуст</w:t>
      </w:r>
      <w:r w:rsidR="006D217A" w:rsidRPr="00317548">
        <w:rPr>
          <w:rFonts w:ascii="Times New Roman" w:hAnsi="Times New Roman" w:cs="Times New Roman"/>
          <w:sz w:val="28"/>
          <w:szCs w:val="28"/>
        </w:rPr>
        <w:t>имого уровня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газоснабжения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не нормируется в связи с тем, что население непосредственно объектами газоснабжения не пользуется.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3.1.4</w:t>
      </w:r>
      <w:r w:rsidR="00C14C7F" w:rsidRPr="00317548">
        <w:rPr>
          <w:rFonts w:ascii="Times New Roman" w:hAnsi="Times New Roman" w:cs="Times New Roman"/>
          <w:sz w:val="28"/>
          <w:szCs w:val="28"/>
        </w:rPr>
        <w:t>. Объекты водоснабжения</w:t>
      </w:r>
      <w:r w:rsidR="009F2E05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17548">
        <w:rPr>
          <w:rFonts w:ascii="Times New Roman" w:hAnsi="Times New Roman" w:cs="Times New Roman"/>
          <w:sz w:val="28"/>
          <w:szCs w:val="28"/>
        </w:rPr>
        <w:t>водоснабжением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F155C8" w:rsidRPr="00317548">
        <w:rPr>
          <w:rFonts w:ascii="Times New Roman" w:hAnsi="Times New Roman" w:cs="Times New Roman"/>
          <w:sz w:val="28"/>
          <w:szCs w:val="28"/>
        </w:rPr>
        <w:t xml:space="preserve">со сведениями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услуг, указанными в </w:t>
      </w:r>
      <w:r w:rsidR="0013121D" w:rsidRPr="00317548">
        <w:rPr>
          <w:rFonts w:ascii="Times New Roman" w:hAnsi="Times New Roman" w:cs="Times New Roman"/>
          <w:sz w:val="28"/>
          <w:szCs w:val="28"/>
        </w:rPr>
        <w:t>Схеме</w:t>
      </w:r>
      <w:r w:rsidR="00F155C8" w:rsidRPr="00317548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Зеленогорска, утвержденной постановлением </w:t>
      </w:r>
      <w:proofErr w:type="gramStart"/>
      <w:r w:rsidR="00A35800" w:rsidRPr="0031754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18.04.2014 № 96-п (далее – постановление Администрации № 96-п),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сводом </w:t>
      </w:r>
      <w:hyperlink r:id="rId22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155C8" w:rsidRPr="00317548">
        <w:rPr>
          <w:rFonts w:ascii="Times New Roman" w:hAnsi="Times New Roman" w:cs="Times New Roman"/>
          <w:sz w:val="28"/>
          <w:szCs w:val="28"/>
        </w:rPr>
        <w:t xml:space="preserve"> СП 31.13330.2012 «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Водоснабже</w:t>
      </w:r>
      <w:r w:rsidR="00F155C8" w:rsidRPr="00317548">
        <w:rPr>
          <w:rFonts w:ascii="Times New Roman" w:hAnsi="Times New Roman" w:cs="Times New Roman"/>
          <w:sz w:val="28"/>
          <w:szCs w:val="28"/>
        </w:rPr>
        <w:t>ние. Наружные 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Актуализирова</w:t>
      </w:r>
      <w:r w:rsidR="00F80682" w:rsidRPr="00317548">
        <w:rPr>
          <w:rFonts w:ascii="Times New Roman" w:hAnsi="Times New Roman" w:cs="Times New Roman"/>
          <w:sz w:val="28"/>
          <w:szCs w:val="28"/>
        </w:rPr>
        <w:t xml:space="preserve">нная редакция СНиП 2.04.02-84*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57062" w:rsidRPr="00317548">
        <w:rPr>
          <w:rFonts w:ascii="Times New Roman" w:hAnsi="Times New Roman" w:cs="Times New Roman"/>
          <w:sz w:val="28"/>
          <w:szCs w:val="28"/>
        </w:rPr>
        <w:t>–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свод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A35800" w:rsidRPr="00317548">
        <w:rPr>
          <w:rFonts w:ascii="Times New Roman" w:hAnsi="Times New Roman" w:cs="Times New Roman"/>
          <w:sz w:val="28"/>
          <w:szCs w:val="28"/>
        </w:rPr>
        <w:t>)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Расходы воды на наружное пожаротушение и полив определяются в зависимости от параметров проектируемой территории и характеристики планируемой застройки в соответствии с законодательством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79562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объектов водоснабжения не нормируется, так как данные объекты являются инфраструктурными. Выбор инженерно-технических решений зависит от условий конкретной площадки.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3561C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3.1.5</w:t>
      </w:r>
      <w:r w:rsidR="00C14C7F" w:rsidRPr="00317548">
        <w:rPr>
          <w:rFonts w:ascii="Times New Roman" w:hAnsi="Times New Roman" w:cs="Times New Roman"/>
          <w:sz w:val="28"/>
          <w:szCs w:val="28"/>
        </w:rPr>
        <w:t>. Объекты водоотведения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водоотведения в жилых помещениях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A35800" w:rsidRPr="00317548">
        <w:rPr>
          <w:rFonts w:ascii="Times New Roman" w:hAnsi="Times New Roman" w:cs="Times New Roman"/>
          <w:sz w:val="28"/>
          <w:szCs w:val="28"/>
        </w:rPr>
        <w:t>с постановление</w:t>
      </w:r>
      <w:r w:rsidR="003A3B93" w:rsidRPr="00317548">
        <w:rPr>
          <w:rFonts w:ascii="Times New Roman" w:hAnsi="Times New Roman" w:cs="Times New Roman"/>
          <w:sz w:val="28"/>
          <w:szCs w:val="28"/>
        </w:rPr>
        <w:t>м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Администрации № 96-п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сводом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и с</w:t>
      </w:r>
      <w:r w:rsidR="00F80682" w:rsidRPr="00317548">
        <w:rPr>
          <w:rFonts w:ascii="Times New Roman" w:hAnsi="Times New Roman" w:cs="Times New Roman"/>
          <w:sz w:val="28"/>
          <w:szCs w:val="28"/>
        </w:rPr>
        <w:t>водом правил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0682" w:rsidRPr="00317548">
        <w:rPr>
          <w:rFonts w:ascii="Times New Roman" w:hAnsi="Times New Roman" w:cs="Times New Roman"/>
          <w:spacing w:val="3"/>
          <w:sz w:val="28"/>
          <w:szCs w:val="28"/>
          <w:shd w:val="clear" w:color="auto" w:fill="FFFFFF" w:themeFill="background1"/>
        </w:rPr>
        <w:t>СП 32.13330.2018</w:t>
      </w:r>
      <w:r w:rsidR="00F80682" w:rsidRPr="003175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35800" w:rsidRPr="00317548">
        <w:rPr>
          <w:rFonts w:ascii="Times New Roman" w:hAnsi="Times New Roman" w:cs="Times New Roman"/>
          <w:sz w:val="28"/>
          <w:szCs w:val="28"/>
        </w:rPr>
        <w:t>«СНиП 2.04.03-85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Канализация. Наружные </w:t>
      </w:r>
      <w:r w:rsidR="00A35800" w:rsidRPr="00317548">
        <w:rPr>
          <w:rFonts w:ascii="Times New Roman" w:hAnsi="Times New Roman" w:cs="Times New Roman"/>
          <w:sz w:val="28"/>
          <w:szCs w:val="28"/>
        </w:rPr>
        <w:t>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Удельное среднесуточное (за год) водоотведение бытовых сточных вод от жилых зданий следует принимать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расчетному удельному среднесуточному (за год) водопотреблению, без учета расхода воды на полив территорий и зеленых насаждений.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Удельные показатели водоотведения </w:t>
      </w:r>
      <w:r w:rsidR="0079562F" w:rsidRPr="00317548">
        <w:rPr>
          <w:rFonts w:ascii="Times New Roman" w:hAnsi="Times New Roman" w:cs="Times New Roman"/>
          <w:sz w:val="28"/>
          <w:szCs w:val="28"/>
        </w:rPr>
        <w:t>пересматриваются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по мере внедрения </w:t>
      </w:r>
      <w:proofErr w:type="spellStart"/>
      <w:r w:rsidR="00657062" w:rsidRPr="00317548">
        <w:rPr>
          <w:rFonts w:ascii="Times New Roman" w:hAnsi="Times New Roman" w:cs="Times New Roman"/>
          <w:sz w:val="28"/>
          <w:szCs w:val="28"/>
        </w:rPr>
        <w:t>водосберегающ</w:t>
      </w:r>
      <w:r w:rsidRPr="0031754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17548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водоотведения не нормируется, так как данные объ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екты являются инфраструктурными. </w:t>
      </w:r>
      <w:r w:rsidR="00C14C7F" w:rsidRPr="00317548">
        <w:rPr>
          <w:rFonts w:ascii="Times New Roman" w:hAnsi="Times New Roman" w:cs="Times New Roman"/>
          <w:sz w:val="28"/>
          <w:szCs w:val="28"/>
        </w:rPr>
        <w:t>Выбор инженерно-технических решений зависит от условий конкретной площадки.</w:t>
      </w:r>
    </w:p>
    <w:p w:rsidR="006E761F" w:rsidRPr="00317548" w:rsidRDefault="006E761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3.2. Автомобильные дороги местного значения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3.2.1. Норматив обеспеченности территорией улично-дорожной сети</w:t>
      </w:r>
      <w:r w:rsidR="00A35800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При проектировании территорий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следует предусматривать единую систему транспорта и улично-дорожной сети в увязке с планировочной структурой и прилегающей территорией, обеспечивающей транспортные связи со всеми функциональными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зонами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городского округа, </w:t>
      </w:r>
      <w:r w:rsidR="0013121D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СП 42.13330.2016, </w:t>
      </w:r>
      <w:hyperlink r:id="rId23" w:history="1">
        <w:r w:rsidR="0079562F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A35800" w:rsidRPr="00317548">
        <w:rPr>
          <w:rFonts w:ascii="Times New Roman" w:hAnsi="Times New Roman" w:cs="Times New Roman"/>
          <w:sz w:val="28"/>
          <w:szCs w:val="28"/>
        </w:rPr>
        <w:t>.12.</w:t>
      </w:r>
      <w:r w:rsidRPr="00317548">
        <w:rPr>
          <w:rFonts w:ascii="Times New Roman" w:hAnsi="Times New Roman" w:cs="Times New Roman"/>
          <w:sz w:val="28"/>
          <w:szCs w:val="28"/>
        </w:rPr>
        <w:t xml:space="preserve">2014 </w:t>
      </w:r>
      <w:r w:rsidR="00A35800" w:rsidRPr="00317548">
        <w:rPr>
          <w:rFonts w:ascii="Times New Roman" w:hAnsi="Times New Roman" w:cs="Times New Roman"/>
          <w:sz w:val="28"/>
          <w:szCs w:val="28"/>
        </w:rPr>
        <w:t>№ 1521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перечня национальных стандартов и сводов правил (частей таких стандартов и сводов правил), в результате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которых на обязательной основе обеспечивается соблюдение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требований Федерального закона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от 30.12.2009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№ 384-ФЗ </w:t>
      </w:r>
      <w:r w:rsidR="00A35800" w:rsidRPr="00317548">
        <w:rPr>
          <w:rFonts w:ascii="Times New Roman" w:hAnsi="Times New Roman" w:cs="Times New Roman"/>
          <w:sz w:val="28"/>
          <w:szCs w:val="28"/>
        </w:rPr>
        <w:t>«</w:t>
      </w:r>
      <w:r w:rsidRPr="00317548">
        <w:rPr>
          <w:rFonts w:ascii="Times New Roman" w:hAnsi="Times New Roman" w:cs="Times New Roman"/>
          <w:sz w:val="28"/>
          <w:szCs w:val="28"/>
        </w:rPr>
        <w:t>Технический регламент о б</w:t>
      </w:r>
      <w:r w:rsidR="00A35800" w:rsidRPr="00317548">
        <w:rPr>
          <w:rFonts w:ascii="Times New Roman" w:hAnsi="Times New Roman" w:cs="Times New Roman"/>
          <w:sz w:val="28"/>
          <w:szCs w:val="28"/>
        </w:rPr>
        <w:t>езопасности зданий и сооружений»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13121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 пропускная способность сети улиц, дорог и транспортных пересечений определяется исходя из уровня автомобилизации</w:t>
      </w:r>
      <w:r w:rsidR="00B73621" w:rsidRPr="00317548">
        <w:rPr>
          <w:rFonts w:ascii="Times New Roman" w:hAnsi="Times New Roman" w:cs="Times New Roman"/>
          <w:sz w:val="28"/>
          <w:szCs w:val="28"/>
        </w:rPr>
        <w:t>, определяемого соот</w:t>
      </w:r>
      <w:r w:rsidR="00C02BEB" w:rsidRPr="00317548">
        <w:rPr>
          <w:rFonts w:ascii="Times New Roman" w:hAnsi="Times New Roman" w:cs="Times New Roman"/>
          <w:sz w:val="28"/>
          <w:szCs w:val="28"/>
        </w:rPr>
        <w:t xml:space="preserve">ношением числа автомобилей на 1 </w:t>
      </w:r>
      <w:r w:rsidR="00B73621" w:rsidRPr="00317548">
        <w:rPr>
          <w:rFonts w:ascii="Times New Roman" w:hAnsi="Times New Roman" w:cs="Times New Roman"/>
          <w:sz w:val="28"/>
          <w:szCs w:val="28"/>
        </w:rPr>
        <w:t>000 человек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4C511B" w:rsidRPr="00317548">
        <w:rPr>
          <w:rFonts w:ascii="Times New Roman" w:hAnsi="Times New Roman" w:cs="Times New Roman"/>
          <w:sz w:val="28"/>
          <w:szCs w:val="28"/>
        </w:rPr>
        <w:t>Показатель перспективного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(расчетного)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автомобилизации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по г. Зеленогорску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определен в соответствии с </w:t>
      </w:r>
      <w:r w:rsidR="001C0209" w:rsidRPr="00317548">
        <w:rPr>
          <w:rFonts w:ascii="Times New Roman" w:hAnsi="Times New Roman" w:cs="Times New Roman"/>
          <w:sz w:val="28"/>
          <w:szCs w:val="28"/>
        </w:rPr>
        <w:t xml:space="preserve">таблицей 60 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C511B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1C0209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и приведен в таблице 3 Местных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57062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4C7F" w:rsidRPr="00317548" w:rsidRDefault="003A3B93" w:rsidP="00FD43D1">
      <w:pPr>
        <w:autoSpaceDE w:val="0"/>
        <w:autoSpaceDN w:val="0"/>
        <w:adjustRightInd w:val="0"/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Таблица 3</w:t>
      </w:r>
    </w:p>
    <w:p w:rsidR="00C14C7F" w:rsidRPr="00317548" w:rsidRDefault="003A3B93" w:rsidP="00E76E7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C02BEB" w:rsidRPr="00317548">
        <w:rPr>
          <w:rFonts w:ascii="Times New Roman" w:hAnsi="Times New Roman" w:cs="Times New Roman"/>
          <w:sz w:val="28"/>
          <w:szCs w:val="28"/>
        </w:rPr>
        <w:t>по г. Зеленогорску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легковых автомобилей на 1000 жителей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грузовых автомобилей на 1000 жителей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мототранспорта на 1000 жителей</w:t>
            </w:r>
          </w:p>
        </w:tc>
      </w:tr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3A3B93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Данный показатель соответствует общероссийским прогнозам роста уровня автомобилизации.</w:t>
      </w:r>
    </w:p>
    <w:p w:rsidR="00C14C7F" w:rsidRPr="00317548" w:rsidRDefault="0077428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13121D" w:rsidRPr="00317548">
        <w:rPr>
          <w:rFonts w:ascii="Times New Roman" w:hAnsi="Times New Roman" w:cs="Times New Roman"/>
          <w:sz w:val="28"/>
          <w:szCs w:val="28"/>
        </w:rPr>
        <w:t>местного значения назначаются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E0778D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территорией улично-дорожной сети для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63571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1B2" w:rsidRPr="00317548">
        <w:rPr>
          <w:rFonts w:ascii="Times New Roman" w:hAnsi="Times New Roman" w:cs="Times New Roman"/>
          <w:sz w:val="28"/>
          <w:szCs w:val="28"/>
        </w:rPr>
        <w:t>табли</w:t>
      </w:r>
      <w:r w:rsidR="00D63571" w:rsidRPr="00317548">
        <w:rPr>
          <w:rFonts w:ascii="Times New Roman" w:hAnsi="Times New Roman" w:cs="Times New Roman"/>
          <w:sz w:val="28"/>
          <w:szCs w:val="28"/>
        </w:rPr>
        <w:t>цей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E0778D" w:rsidRPr="00317548">
        <w:rPr>
          <w:rFonts w:ascii="Times New Roman" w:hAnsi="Times New Roman" w:cs="Times New Roman"/>
          <w:sz w:val="28"/>
          <w:szCs w:val="28"/>
        </w:rPr>
        <w:t>Расчетное значение плотности улично-дорожной сети на территории г. Зеленогорска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E7C58" w:rsidRPr="00317548">
        <w:rPr>
          <w:rFonts w:ascii="Times New Roman" w:hAnsi="Times New Roman" w:cs="Times New Roman"/>
          <w:sz w:val="28"/>
          <w:szCs w:val="28"/>
        </w:rPr>
        <w:t>определяется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как отношение общей протяженности в километрах всех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улиц и </w:t>
      </w:r>
      <w:r w:rsidR="00B7580C" w:rsidRPr="00317548">
        <w:rPr>
          <w:rFonts w:ascii="Times New Roman" w:hAnsi="Times New Roman" w:cs="Times New Roman"/>
          <w:sz w:val="28"/>
          <w:szCs w:val="28"/>
        </w:rPr>
        <w:t>дорог местного значения, о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бразующих улично-дорожную сеть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в границах городского округа, к </w:t>
      </w:r>
      <w:r w:rsidR="00B7580C"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площади территории города.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Общая протяженность улично-дорожной сети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г. Зеленогорска, составляет 201,0 км. Площадь территории города Зеленогорска – 16 208 га.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для объектов улично-дорожной сети не нормируется, так как данные объекты являются инфраструктурными и должны обслуживать все объекты капитального строительства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361A1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3.2.2. Нормативы обеспеченности тротуарами и пешеходными дорожками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тротуарами и пешеходными дорожками </w:t>
      </w:r>
      <w:r w:rsidRPr="00317548">
        <w:rPr>
          <w:rFonts w:ascii="Times New Roman" w:hAnsi="Times New Roman" w:cs="Times New Roman"/>
          <w:sz w:val="28"/>
          <w:szCs w:val="28"/>
        </w:rPr>
        <w:t>определен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</w:t>
      </w:r>
      <w:r w:rsidR="006A24A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="006A24A4" w:rsidRPr="00317548">
        <w:rPr>
          <w:rFonts w:ascii="Times New Roman" w:hAnsi="Times New Roman" w:cs="Times New Roman"/>
          <w:sz w:val="28"/>
          <w:szCs w:val="28"/>
        </w:rPr>
        <w:t>тротуарами и пешеходными дорожками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не нормируется, так как данные объекты являются частью улично-дорожной сети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обслуживает все объекты капитального строительства</w:t>
      </w:r>
      <w:r w:rsidR="00E21852" w:rsidRPr="0031754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3.2.3. Нормативы обеспеченности пешеходными переходами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85848" w:rsidRPr="00317548" w:rsidRDefault="005613C1" w:rsidP="0098584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пешеходными переходами, интервал размещения пешеходных переходов приведен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на основании таблицы 78 Региональных нормативов. </w:t>
      </w:r>
    </w:p>
    <w:p w:rsidR="00D63571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 пешеходные переходы следует размещать в местах пересечения основных пешеходных коммуникаций с </w:t>
      </w:r>
      <w:r w:rsidRPr="00317548">
        <w:rPr>
          <w:rFonts w:ascii="Times New Roman" w:hAnsi="Times New Roman" w:cs="Times New Roman"/>
          <w:sz w:val="28"/>
          <w:szCs w:val="28"/>
        </w:rPr>
        <w:t xml:space="preserve">автомобильными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дорогами</w:t>
      </w:r>
      <w:r w:rsidR="005613C1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>. Пешеходные переходы проектируются в одно</w:t>
      </w:r>
      <w:r w:rsidR="00CE7C58" w:rsidRPr="00317548">
        <w:rPr>
          <w:rFonts w:ascii="Times New Roman" w:hAnsi="Times New Roman" w:cs="Times New Roman"/>
          <w:sz w:val="28"/>
          <w:szCs w:val="28"/>
        </w:rPr>
        <w:t xml:space="preserve">м уровне с проезжей частью </w:t>
      </w:r>
      <w:r w:rsidRPr="00317548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98584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пешеходных переходов не нормируется, так как пешеходные переходы являются обязательной частью инфраструктуры улично-дорожной сети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непосредственно используется и должна быть абсолютно доступна для населения.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2536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 Объекты, предназначенные для организации </w:t>
      </w:r>
    </w:p>
    <w:p w:rsidR="00C14C7F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в </w:t>
      </w:r>
      <w:r w:rsidR="00D86E62" w:rsidRPr="00317548">
        <w:rPr>
          <w:rFonts w:ascii="Times New Roman" w:hAnsi="Times New Roman" w:cs="Times New Roman"/>
          <w:sz w:val="28"/>
          <w:szCs w:val="28"/>
        </w:rPr>
        <w:t>г. Зеленогорске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3.3.1. Нормативы обеспеченности сооружениями и устройствами для хранения и обслуживания транспортных средств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311BD" w:rsidRPr="00317548" w:rsidRDefault="00F311B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открыты</w:t>
      </w:r>
      <w:r w:rsidR="00F97010" w:rsidRPr="00317548">
        <w:rPr>
          <w:rFonts w:ascii="Times New Roman" w:hAnsi="Times New Roman" w:cs="Times New Roman"/>
          <w:sz w:val="28"/>
          <w:szCs w:val="28"/>
        </w:rPr>
        <w:t>ми</w:t>
      </w:r>
      <w:r w:rsidR="004C44EE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97010" w:rsidRPr="00317548">
        <w:rPr>
          <w:rFonts w:ascii="Times New Roman" w:hAnsi="Times New Roman" w:cs="Times New Roman"/>
          <w:sz w:val="28"/>
          <w:szCs w:val="28"/>
        </w:rPr>
        <w:t>стоянками</w:t>
      </w:r>
      <w:r w:rsidR="004C44EE" w:rsidRPr="00317548">
        <w:rPr>
          <w:rFonts w:ascii="Times New Roman" w:hAnsi="Times New Roman" w:cs="Times New Roman"/>
          <w:sz w:val="28"/>
          <w:szCs w:val="28"/>
        </w:rPr>
        <w:t xml:space="preserve"> для временного хранения легковых автомобилей </w:t>
      </w:r>
      <w:r w:rsidRPr="00317548">
        <w:rPr>
          <w:rFonts w:ascii="Times New Roman" w:hAnsi="Times New Roman" w:cs="Times New Roman"/>
          <w:sz w:val="28"/>
          <w:szCs w:val="28"/>
        </w:rPr>
        <w:t>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Зеленогорске установлены </w:t>
      </w:r>
      <w:r w:rsidR="00424035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24035" w:rsidRPr="00317548">
        <w:rPr>
          <w:rFonts w:ascii="Times New Roman" w:hAnsi="Times New Roman" w:cs="Times New Roman"/>
          <w:sz w:val="28"/>
          <w:szCs w:val="28"/>
        </w:rPr>
        <w:t>Под расчетным парком индивидуальных легковых автомобилей в строке 3.1.1 Местных нормативов принимается показатель, установленный в таблице 3 Местных нормативов.</w:t>
      </w:r>
    </w:p>
    <w:p w:rsidR="00233010" w:rsidRPr="00317548" w:rsidRDefault="00985848" w:rsidP="00CD4C3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местами для паркования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 работников и посетителей объектов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311BD" w:rsidRPr="00317548">
        <w:rPr>
          <w:rFonts w:ascii="Times New Roman" w:hAnsi="Times New Roman" w:cs="Times New Roman"/>
          <w:sz w:val="28"/>
          <w:szCs w:val="28"/>
        </w:rPr>
        <w:t>различного функционального назначения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определены </w:t>
      </w:r>
      <w:r w:rsidR="003124A1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D4C35" w:rsidRPr="00317548">
        <w:rPr>
          <w:rFonts w:ascii="Times New Roman" w:hAnsi="Times New Roman" w:cs="Times New Roman"/>
          <w:sz w:val="28"/>
          <w:szCs w:val="28"/>
        </w:rPr>
        <w:t>СП 42.13330.20</w:t>
      </w:r>
      <w:r w:rsidR="004C44EE" w:rsidRPr="00317548">
        <w:rPr>
          <w:rFonts w:ascii="Times New Roman" w:hAnsi="Times New Roman" w:cs="Times New Roman"/>
          <w:sz w:val="28"/>
          <w:szCs w:val="28"/>
        </w:rPr>
        <w:t>16</w:t>
      </w:r>
      <w:r w:rsidR="00CD4C3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учетом требований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следующих сводов правил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свод правил СП 160.1325800.2014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и комплексы многофункциона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льные. Пр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свод правил СП 152.13330.2012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судов общей юри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дикции.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свод правил СП 228.1325800.2014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Здания и сооружения следственных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рганов.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свод правил СП 257.1325800.2016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г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стиниц.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87503" w:rsidRPr="00317548" w:rsidRDefault="00687503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максимально допустимого уровня территориальной доступности таких объектов устанавл</w:t>
      </w:r>
      <w:r w:rsidR="003124A1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ивается в соответствии со сводом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СП 42.13330.2016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0B5816" w:rsidRPr="00317548" w:rsidRDefault="000B581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3.3.2. Нормативы обеспеченности объектами обслуживания автомобильного 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87503" w:rsidRPr="00317548" w:rsidRDefault="00985848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объектами обслуживания автомобильного транспорта определены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обслуживания автомобильного транспорта не нормируется в связи с мобильностью транспортных средств</w:t>
      </w:r>
      <w:r w:rsidR="00CE7C58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C58" w:rsidRPr="00317548" w:rsidRDefault="00CE7C5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3.3.3. Нормативы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Pr="00317548">
        <w:rPr>
          <w:rFonts w:ascii="Times New Roman" w:hAnsi="Times New Roman" w:cs="Times New Roman"/>
          <w:sz w:val="28"/>
          <w:szCs w:val="28"/>
        </w:rPr>
        <w:t>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минимального норматива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не нормируются. Потребность в остановках общественного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 пассажирского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транспорта определяется местными условиями и функциями территорий городского округа.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остановок общественного 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определен</w:t>
      </w:r>
      <w:r w:rsidR="00687503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413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3.4. Объекты, предназначенные для размещения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844A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</w:p>
    <w:p w:rsidR="00C14C7F" w:rsidRPr="00317548" w:rsidRDefault="00C14C7F" w:rsidP="00D844A7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111F8A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3.4.1. Дошкольные 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D19A6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обеспечения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317548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2C6010" w:rsidRPr="00317548">
        <w:rPr>
          <w:rFonts w:ascii="Times New Roman" w:hAnsi="Times New Roman" w:cs="Times New Roman"/>
          <w:sz w:val="28"/>
          <w:szCs w:val="28"/>
        </w:rPr>
        <w:t>о</w:t>
      </w:r>
      <w:r w:rsidR="00F6479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24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C601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72686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918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Данные показатели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определяются в зависимости от прогноза демографической структуры населения, исходя из обеспечения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пределах 85%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численности детей в возрасте 1,5 года - 7 лет. </w:t>
      </w:r>
      <w:r w:rsidR="00A56C0C" w:rsidRPr="00317548">
        <w:rPr>
          <w:rFonts w:ascii="Times New Roman" w:hAnsi="Times New Roman" w:cs="Times New Roman"/>
          <w:sz w:val="28"/>
          <w:szCs w:val="28"/>
        </w:rPr>
        <w:t>Численность данной возрастной группы на 01.01.</w:t>
      </w:r>
      <w:r w:rsidR="00A34ED7" w:rsidRPr="00317548">
        <w:rPr>
          <w:rFonts w:ascii="Times New Roman" w:hAnsi="Times New Roman" w:cs="Times New Roman"/>
          <w:sz w:val="28"/>
          <w:szCs w:val="28"/>
        </w:rPr>
        <w:t>2018</w:t>
      </w:r>
      <w:r w:rsidRPr="00317548">
        <w:rPr>
          <w:rFonts w:ascii="Times New Roman" w:hAnsi="Times New Roman" w:cs="Times New Roman"/>
          <w:sz w:val="28"/>
          <w:szCs w:val="28"/>
        </w:rPr>
        <w:t xml:space="preserve"> составила около </w:t>
      </w:r>
      <w:r w:rsidR="00A56C0C" w:rsidRPr="00317548">
        <w:rPr>
          <w:rFonts w:ascii="Times New Roman" w:hAnsi="Times New Roman" w:cs="Times New Roman"/>
          <w:sz w:val="28"/>
          <w:szCs w:val="28"/>
        </w:rPr>
        <w:t xml:space="preserve">4103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111F8A" w:rsidRPr="00317548">
        <w:rPr>
          <w:rFonts w:ascii="Times New Roman" w:hAnsi="Times New Roman" w:cs="Times New Roman"/>
          <w:sz w:val="28"/>
          <w:szCs w:val="28"/>
        </w:rPr>
        <w:t>Обеспечить детским</w:t>
      </w:r>
      <w:r w:rsidR="002C6010" w:rsidRPr="00317548">
        <w:rPr>
          <w:rFonts w:ascii="Times New Roman" w:hAnsi="Times New Roman" w:cs="Times New Roman"/>
          <w:sz w:val="28"/>
          <w:szCs w:val="28"/>
        </w:rPr>
        <w:t>и учреждениями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СП 42.13330.2016 необходимо около 3487 детей (85% численности данной возрастной группы).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г.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дошкольное образование полу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 3475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ED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проектной мощности дош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кольных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равной 3536 мест.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обеспеченность дошкольными образовательными организац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на 1000 жителей составляет</w:t>
      </w:r>
      <w:r w:rsidR="005E3617" w:rsidRPr="00317548">
        <w:rPr>
          <w:rFonts w:ascii="Times New Roman" w:hAnsi="Times New Roman" w:cs="Times New Roman"/>
          <w:sz w:val="28"/>
          <w:szCs w:val="28"/>
        </w:rPr>
        <w:t xml:space="preserve"> 56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AF79C7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своду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E7C1B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317548" w:rsidRPr="00317548">
        <w:rPr>
          <w:rFonts w:ascii="Times New Roman" w:hAnsi="Times New Roman" w:cs="Times New Roman"/>
          <w:sz w:val="28"/>
          <w:szCs w:val="28"/>
        </w:rPr>
        <w:t>таблицы 7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8 </w:t>
      </w:r>
      <w:r w:rsidR="00CE7C1B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79C7"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дошкольных образовательных организаций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34ED7" w:rsidRPr="00317548">
        <w:rPr>
          <w:rFonts w:ascii="Times New Roman" w:hAnsi="Times New Roman" w:cs="Times New Roman"/>
          <w:sz w:val="28"/>
          <w:szCs w:val="28"/>
        </w:rPr>
        <w:t>300 м/5 мин.</w:t>
      </w:r>
    </w:p>
    <w:p w:rsidR="00A34ED7" w:rsidRPr="00317548" w:rsidRDefault="00A34ED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3.4.2. Общеобразовательные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у</w:t>
      </w:r>
      <w:r w:rsidRPr="00317548">
        <w:rPr>
          <w:rFonts w:ascii="Times New Roman" w:hAnsi="Times New Roman" w:cs="Times New Roman"/>
          <w:sz w:val="28"/>
          <w:szCs w:val="28"/>
        </w:rPr>
        <w:t>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общеобразовательных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 учетом 100% </w:t>
      </w:r>
      <w:r w:rsidR="00B92765" w:rsidRPr="00317548">
        <w:rPr>
          <w:rFonts w:ascii="Times New Roman" w:hAnsi="Times New Roman" w:cs="Times New Roman"/>
          <w:sz w:val="28"/>
          <w:szCs w:val="28"/>
        </w:rPr>
        <w:t xml:space="preserve">охвата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A34ED7" w:rsidRPr="00317548">
        <w:rPr>
          <w:rFonts w:ascii="Times New Roman" w:hAnsi="Times New Roman" w:cs="Times New Roman"/>
          <w:sz w:val="28"/>
          <w:szCs w:val="28"/>
        </w:rPr>
        <w:t>обучающихся в 1 - 9 классах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; 75% </w:t>
      </w:r>
      <w:r w:rsidR="00A34ED7" w:rsidRPr="00317548">
        <w:rPr>
          <w:rFonts w:ascii="Times New Roman" w:hAnsi="Times New Roman" w:cs="Times New Roman"/>
          <w:sz w:val="28"/>
          <w:szCs w:val="28"/>
        </w:rPr>
        <w:t>от общего числа обучающихся в 10 - 11 классах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E7391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 занятиям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в г. Зеленогорске </w:t>
      </w:r>
      <w:r w:rsidRPr="00317548">
        <w:rPr>
          <w:rFonts w:ascii="Times New Roman" w:hAnsi="Times New Roman" w:cs="Times New Roman"/>
          <w:sz w:val="28"/>
          <w:szCs w:val="28"/>
        </w:rPr>
        <w:t>приступило в 2018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-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2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019 учебном году 6374 обучающихся.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Минимальная потребность в местах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317548">
        <w:rPr>
          <w:rFonts w:ascii="Times New Roman" w:hAnsi="Times New Roman" w:cs="Times New Roman"/>
          <w:sz w:val="28"/>
          <w:szCs w:val="28"/>
        </w:rPr>
        <w:t>10</w:t>
      </w:r>
      <w:r w:rsidR="005E3617" w:rsidRPr="00317548">
        <w:rPr>
          <w:rFonts w:ascii="Times New Roman" w:hAnsi="Times New Roman" w:cs="Times New Roman"/>
          <w:sz w:val="28"/>
          <w:szCs w:val="28"/>
        </w:rPr>
        <w:t>3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мест</w:t>
      </w:r>
      <w:r w:rsidR="005E3617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на 1 тыс. жителей.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общеобразовательных организаций на территории 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г. Зеленогорска принят </w:t>
      </w:r>
      <w:r w:rsidR="00C14C7F" w:rsidRPr="00317548">
        <w:rPr>
          <w:rFonts w:ascii="Times New Roman" w:hAnsi="Times New Roman" w:cs="Times New Roman"/>
          <w:sz w:val="28"/>
          <w:szCs w:val="28"/>
        </w:rPr>
        <w:t>в соответст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</w:t>
      </w:r>
      <w:r w:rsidR="00C02CFE" w:rsidRPr="00317548">
        <w:rPr>
          <w:rFonts w:ascii="Times New Roman" w:hAnsi="Times New Roman" w:cs="Times New Roman"/>
          <w:sz w:val="28"/>
          <w:szCs w:val="28"/>
        </w:rPr>
        <w:t>и</w:t>
      </w:r>
      <w:r w:rsidR="002F60A7" w:rsidRPr="00317548">
        <w:rPr>
          <w:rFonts w:ascii="Times New Roman" w:hAnsi="Times New Roman" w:cs="Times New Roman"/>
          <w:sz w:val="28"/>
          <w:szCs w:val="28"/>
        </w:rPr>
        <w:t>вов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42.13330.2016. </w:t>
      </w:r>
    </w:p>
    <w:p w:rsidR="00C02CFE" w:rsidRPr="00317548" w:rsidRDefault="00C02CF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3.4.3. Организации дополнительного образования детей</w:t>
      </w:r>
      <w:r w:rsidR="00AF79C7" w:rsidRPr="00317548">
        <w:rPr>
          <w:rFonts w:ascii="Times New Roman" w:hAnsi="Times New Roman" w:cs="Times New Roman"/>
          <w:sz w:val="28"/>
          <w:szCs w:val="28"/>
        </w:rPr>
        <w:t>.</w:t>
      </w:r>
    </w:p>
    <w:p w:rsidR="00485EBD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</w:t>
      </w:r>
      <w:r w:rsidR="00C14C7F" w:rsidRPr="00317548">
        <w:rPr>
          <w:rFonts w:ascii="Times New Roman" w:hAnsi="Times New Roman" w:cs="Times New Roman"/>
          <w:sz w:val="28"/>
          <w:szCs w:val="28"/>
        </w:rPr>
        <w:t>иним</w:t>
      </w:r>
      <w:r w:rsidRPr="00317548">
        <w:rPr>
          <w:rFonts w:ascii="Times New Roman" w:hAnsi="Times New Roman" w:cs="Times New Roman"/>
          <w:sz w:val="28"/>
          <w:szCs w:val="28"/>
        </w:rPr>
        <w:t>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местами в организациях дополнительного образования детей установлен</w:t>
      </w:r>
      <w:r w:rsidR="00B43180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E83AB7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F26520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размере 1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0%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На территории г. Зеленогорска 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обеспечивается охват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36% общего числа </w:t>
      </w:r>
      <w:proofErr w:type="gramStart"/>
      <w:r w:rsidR="00F1506D" w:rsidRPr="003175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1506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26520" w:rsidRPr="00317548">
        <w:rPr>
          <w:rFonts w:ascii="Times New Roman" w:hAnsi="Times New Roman" w:cs="Times New Roman"/>
          <w:sz w:val="28"/>
          <w:szCs w:val="28"/>
        </w:rPr>
        <w:t>дополнительными образовательными программами.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 являются объектами периодического пользования, поэтому максимально допустимый уровень транспортной доступности организаций дополнительного образования детей</w:t>
      </w:r>
      <w:r w:rsidR="006248A0" w:rsidRPr="00317548">
        <w:rPr>
          <w:rFonts w:ascii="Times New Roman" w:hAnsi="Times New Roman" w:cs="Times New Roman"/>
          <w:sz w:val="28"/>
          <w:szCs w:val="28"/>
        </w:rPr>
        <w:t xml:space="preserve"> на </w:t>
      </w:r>
      <w:r w:rsidR="006248A0" w:rsidRPr="00317548">
        <w:rPr>
          <w:rFonts w:ascii="Times New Roman" w:hAnsi="Times New Roman" w:cs="Times New Roman"/>
          <w:sz w:val="28"/>
          <w:szCs w:val="28"/>
        </w:rPr>
        <w:lastRenderedPageBreak/>
        <w:t>территории г. Зеленогорска</w:t>
      </w:r>
      <w:r w:rsidRPr="00317548">
        <w:rPr>
          <w:rFonts w:ascii="Times New Roman" w:hAnsi="Times New Roman" w:cs="Times New Roman"/>
          <w:sz w:val="28"/>
          <w:szCs w:val="28"/>
        </w:rPr>
        <w:t xml:space="preserve"> - 30 мин. Относительно остановок общественного транспорта данные объекты необходимо располагать в пешеходной доступности 150 м/3 мин.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3.5. 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</w:r>
      <w:r w:rsidR="00B87B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3180" w:rsidRPr="00317548" w:rsidRDefault="00AF79C7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42183F" w:rsidRPr="00317548">
        <w:rPr>
          <w:rFonts w:ascii="Times New Roman" w:hAnsi="Times New Roman" w:cs="Times New Roman"/>
          <w:sz w:val="28"/>
          <w:szCs w:val="28"/>
        </w:rPr>
        <w:t>минимально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помещениями для физкультурных занятий и тренировок, 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физкультурно-спортивными залами, плавательными бассейнами, плоскостными сооружениями </w:t>
      </w:r>
      <w:proofErr w:type="gramStart"/>
      <w:r w:rsidR="00D77394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со сводом правил СП 42.13330.2016, таблицей 78 Региональных нормативов.</w:t>
      </w:r>
    </w:p>
    <w:p w:rsidR="00D77394" w:rsidRPr="00317548" w:rsidRDefault="0042183F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помещений для физкультурных занятий и тренировок, физкультурно-спортивных залов, плавательных бассейнов, плоскостных сооружений принят в соответствии с Региональными нормативами.</w:t>
      </w:r>
    </w:p>
    <w:p w:rsidR="008A1D70" w:rsidRPr="00317548" w:rsidRDefault="008A1D7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3.6. Библиотеки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библиотеками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3A1790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02.08.2017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Р-965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 № Р-965)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библиотек</w:t>
      </w:r>
      <w:r w:rsidRPr="00317548">
        <w:rPr>
          <w:rFonts w:ascii="Times New Roman" w:hAnsi="Times New Roman" w:cs="Times New Roman"/>
          <w:sz w:val="28"/>
          <w:szCs w:val="28"/>
        </w:rPr>
        <w:t>,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обслуживающих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все категории жителей на расстоянии </w:t>
      </w:r>
      <w:proofErr w:type="spellStart"/>
      <w:r w:rsidR="00C14C7F" w:rsidRPr="00317548">
        <w:rPr>
          <w:rFonts w:ascii="Times New Roman" w:hAnsi="Times New Roman" w:cs="Times New Roman"/>
          <w:sz w:val="28"/>
          <w:szCs w:val="28"/>
        </w:rPr>
        <w:t>пешеходно</w:t>
      </w:r>
      <w:proofErr w:type="spellEnd"/>
      <w:r w:rsidR="00C14C7F" w:rsidRPr="00317548">
        <w:rPr>
          <w:rFonts w:ascii="Times New Roman" w:hAnsi="Times New Roman" w:cs="Times New Roman"/>
          <w:sz w:val="28"/>
          <w:szCs w:val="28"/>
        </w:rPr>
        <w:t>-транспортной доступности (максимально допустимый уровень террито</w:t>
      </w:r>
      <w:r w:rsidR="00704C66" w:rsidRPr="00317548">
        <w:rPr>
          <w:rFonts w:ascii="Times New Roman" w:hAnsi="Times New Roman" w:cs="Times New Roman"/>
          <w:sz w:val="28"/>
          <w:szCs w:val="28"/>
        </w:rPr>
        <w:t>риальной доступности): до 3 км/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ч - пешеходная доступность, свыше 3 км</w:t>
      </w:r>
      <w:r w:rsidR="00704C66" w:rsidRPr="00317548">
        <w:rPr>
          <w:rFonts w:ascii="Times New Roman" w:hAnsi="Times New Roman" w:cs="Times New Roman"/>
          <w:sz w:val="28"/>
          <w:szCs w:val="28"/>
        </w:rPr>
        <w:t>/ ч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546F7C" w:rsidRPr="00317548">
        <w:rPr>
          <w:rFonts w:ascii="Times New Roman" w:hAnsi="Times New Roman" w:cs="Times New Roman"/>
          <w:sz w:val="28"/>
          <w:szCs w:val="28"/>
        </w:rPr>
        <w:t>–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транспортная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доступность 30-40 мин. принят в соответствии с </w:t>
      </w:r>
      <w:r w:rsidR="00546F7C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№ Р-965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3.7. Объекты, предназначенные для размещения организаций культуры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F48E6" w:rsidRPr="00317548" w:rsidRDefault="0042183F" w:rsidP="00BF48E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помещениями для ку</w:t>
      </w:r>
      <w:r w:rsidRPr="00317548">
        <w:rPr>
          <w:rFonts w:ascii="Times New Roman" w:hAnsi="Times New Roman" w:cs="Times New Roman"/>
          <w:sz w:val="28"/>
          <w:szCs w:val="28"/>
        </w:rPr>
        <w:t>льтурно-досуговой деятельности,</w:t>
      </w:r>
      <w:r w:rsidR="00450D64" w:rsidRPr="00317548">
        <w:rPr>
          <w:rFonts w:ascii="Times New Roman" w:hAnsi="Times New Roman" w:cs="Times New Roman"/>
          <w:sz w:val="28"/>
          <w:szCs w:val="28"/>
        </w:rPr>
        <w:t xml:space="preserve"> музеями,  учреждениями культуры клубного типа, парками культуры и отдыха, зоопарка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ми, кинотеатрами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50D6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Р-965</w:t>
      </w:r>
      <w:r w:rsidR="00BF48E6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BF48E6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универсальными спортивно-зрелищными залами установлен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расчетных показателей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объекты, предназначенные для размещения организаций культуры городского округа.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3.8. Объекты, предназначенные для орга</w:t>
      </w:r>
      <w:r w:rsidR="00C33681" w:rsidRPr="00317548">
        <w:rPr>
          <w:rFonts w:ascii="Times New Roman" w:hAnsi="Times New Roman" w:cs="Times New Roman"/>
          <w:sz w:val="28"/>
          <w:szCs w:val="28"/>
        </w:rPr>
        <w:t xml:space="preserve">низации ритуальных услуг, </w:t>
      </w:r>
      <w:r w:rsidR="00134609" w:rsidRPr="00317548">
        <w:rPr>
          <w:rFonts w:ascii="Times New Roman" w:hAnsi="Times New Roman" w:cs="Times New Roman"/>
          <w:sz w:val="28"/>
          <w:szCs w:val="28"/>
        </w:rPr>
        <w:t xml:space="preserve">кладбищ (мест погребений) </w:t>
      </w:r>
      <w:r w:rsidRPr="00317548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25E23" w:rsidRPr="00317548" w:rsidRDefault="0042183F" w:rsidP="00C25E2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25E23" w:rsidRPr="00317548">
        <w:rPr>
          <w:rFonts w:ascii="Times New Roman" w:hAnsi="Times New Roman" w:cs="Times New Roman"/>
          <w:sz w:val="28"/>
          <w:szCs w:val="28"/>
        </w:rPr>
        <w:t xml:space="preserve"> обеспеченности, нормативы благоустройства объектов ритуального назначения у</w:t>
      </w:r>
      <w:r w:rsidR="00B43180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25" w:history="1">
        <w:r w:rsidR="00C25E23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4279CD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4279CD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25E2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Нормативные требования к размещению кладбищ </w:t>
      </w:r>
      <w:r w:rsidR="00B43180" w:rsidRPr="00317548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6BCF" w:rsidRPr="00317548">
        <w:rPr>
          <w:rFonts w:ascii="Times New Roman" w:hAnsi="Times New Roman" w:cs="Times New Roman"/>
          <w:sz w:val="28"/>
          <w:szCs w:val="28"/>
        </w:rPr>
        <w:t>СанПиН 2.1.2882-11 «</w:t>
      </w:r>
      <w:r w:rsidRPr="00317548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</w:t>
      </w:r>
      <w:r w:rsidR="00476BCF" w:rsidRPr="00317548">
        <w:rPr>
          <w:rFonts w:ascii="Times New Roman" w:hAnsi="Times New Roman" w:cs="Times New Roman"/>
          <w:sz w:val="28"/>
          <w:szCs w:val="28"/>
        </w:rPr>
        <w:t>оружений похоронного назначения»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а также в соответствии с Федеральным </w:t>
      </w:r>
      <w:hyperlink r:id="rId26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76BCF" w:rsidRPr="00317548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6BCF" w:rsidRPr="00317548">
        <w:rPr>
          <w:rFonts w:ascii="Times New Roman" w:hAnsi="Times New Roman" w:cs="Times New Roman"/>
          <w:sz w:val="28"/>
          <w:szCs w:val="28"/>
        </w:rPr>
        <w:t>№ 8-ФЗ «О погребении и похоронном деле»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расчетного показателя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3.9. Объекты благоустройства территории, рекреационные объекты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317548">
        <w:rPr>
          <w:rFonts w:ascii="Times New Roman" w:hAnsi="Times New Roman" w:cs="Times New Roman"/>
          <w:sz w:val="28"/>
          <w:szCs w:val="28"/>
        </w:rPr>
        <w:t>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городского округа озелененными территориями общего пользования у</w:t>
      </w:r>
      <w:r w:rsidR="00721915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определен в 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>Требования по организации сбора твердых коммунальных отходов (далее - ТКО) на территории</w:t>
      </w:r>
      <w:r w:rsidR="006606B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Pr="00317548">
        <w:rPr>
          <w:rFonts w:ascii="Times New Roman" w:hAnsi="Times New Roman" w:cs="Times New Roman"/>
          <w:sz w:val="28"/>
          <w:szCs w:val="28"/>
        </w:rPr>
        <w:t xml:space="preserve">, размещение </w:t>
      </w:r>
      <w:r w:rsidR="001F26A8" w:rsidRPr="00317548">
        <w:rPr>
          <w:rFonts w:ascii="Times New Roman" w:hAnsi="Times New Roman" w:cs="Times New Roman"/>
          <w:sz w:val="28"/>
          <w:szCs w:val="28"/>
        </w:rPr>
        <w:t xml:space="preserve">мусоросборников </w:t>
      </w:r>
      <w:r w:rsidRPr="00317548">
        <w:rPr>
          <w:rFonts w:ascii="Times New Roman" w:hAnsi="Times New Roman" w:cs="Times New Roman"/>
          <w:sz w:val="28"/>
          <w:szCs w:val="28"/>
        </w:rPr>
        <w:t>и своевременный вывоз обр</w:t>
      </w:r>
      <w:r w:rsidR="00134609" w:rsidRPr="00317548">
        <w:rPr>
          <w:rFonts w:ascii="Times New Roman" w:hAnsi="Times New Roman" w:cs="Times New Roman"/>
          <w:sz w:val="28"/>
          <w:szCs w:val="28"/>
        </w:rPr>
        <w:t>азующихся отходов</w:t>
      </w:r>
      <w:r w:rsidR="006606BB"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A959CA" w:rsidRPr="00317548">
        <w:rPr>
          <w:rFonts w:ascii="Times New Roman" w:hAnsi="Times New Roman" w:cs="Times New Roman"/>
          <w:sz w:val="28"/>
          <w:szCs w:val="28"/>
        </w:rPr>
        <w:t xml:space="preserve">с соответствии с санитарными правилами </w:t>
      </w:r>
      <w:hyperlink r:id="rId27" w:history="1">
        <w:r w:rsidRPr="00317548">
          <w:rPr>
            <w:rFonts w:ascii="Times New Roman" w:hAnsi="Times New Roman" w:cs="Times New Roman"/>
            <w:sz w:val="28"/>
            <w:szCs w:val="28"/>
          </w:rPr>
          <w:t>СанПиН 42-128-4690-88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A959CA" w:rsidRPr="00317548">
        <w:rPr>
          <w:rFonts w:ascii="Times New Roman" w:hAnsi="Times New Roman" w:cs="Times New Roman"/>
          <w:sz w:val="28"/>
          <w:szCs w:val="28"/>
        </w:rPr>
        <w:t>«</w:t>
      </w:r>
      <w:r w:rsidRPr="00317548">
        <w:rPr>
          <w:rFonts w:ascii="Times New Roman" w:hAnsi="Times New Roman" w:cs="Times New Roman"/>
          <w:sz w:val="28"/>
          <w:szCs w:val="28"/>
        </w:rPr>
        <w:t>Санитарные правила содерж</w:t>
      </w:r>
      <w:r w:rsidR="006606BB" w:rsidRPr="00317548">
        <w:rPr>
          <w:rFonts w:ascii="Times New Roman" w:hAnsi="Times New Roman" w:cs="Times New Roman"/>
          <w:sz w:val="28"/>
          <w:szCs w:val="28"/>
        </w:rPr>
        <w:t>ания территорий населенных мест»</w:t>
      </w:r>
      <w:r w:rsidR="00721915" w:rsidRPr="003175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26A8" w:rsidRPr="00317548" w:rsidRDefault="001F26A8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bCs/>
          <w:sz w:val="28"/>
          <w:szCs w:val="28"/>
        </w:rPr>
        <w:t xml:space="preserve">Нормативные требования к расчету числа устанавливаемых контейнеров для мусора </w:t>
      </w:r>
      <w:r w:rsidR="00AC024D" w:rsidRPr="00317548">
        <w:rPr>
          <w:rFonts w:ascii="Times New Roman" w:hAnsi="Times New Roman" w:cs="Times New Roman"/>
          <w:bCs/>
          <w:sz w:val="28"/>
          <w:szCs w:val="28"/>
        </w:rPr>
        <w:t xml:space="preserve">определены </w:t>
      </w:r>
      <w:r w:rsidR="00721915" w:rsidRPr="00317548">
        <w:rPr>
          <w:rFonts w:ascii="Times New Roman" w:hAnsi="Times New Roman" w:cs="Times New Roman"/>
          <w:bCs/>
          <w:sz w:val="28"/>
          <w:szCs w:val="28"/>
        </w:rPr>
        <w:t>в соответствии с таблицей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78 Региональных нормативов.</w:t>
      </w:r>
    </w:p>
    <w:p w:rsidR="00C14C7F" w:rsidRPr="00317548" w:rsidRDefault="00134609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 Региональными нормативами</w:t>
      </w:r>
      <w:r w:rsidR="001F26A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площадок для размещения мусоросборников - не более 100 м/2 мин. Площадки для установки контейнеров следует размещать удаленными от окон жилых зданий, границ участков детских учреждений, мест отдыха на </w:t>
      </w:r>
      <w:r w:rsidR="00C14C7F" w:rsidRPr="00317548">
        <w:rPr>
          <w:rFonts w:ascii="Times New Roman" w:hAnsi="Times New Roman" w:cs="Times New Roman"/>
          <w:sz w:val="28"/>
          <w:szCs w:val="28"/>
        </w:rPr>
        <w:lastRenderedPageBreak/>
        <w:t>расстояние не менее чем 20 м, на участках жилой застройки - не далее 100 м от входов, считая по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пешеходным дорожкам, при этом территория площадки должна примыкать к проездам, но не мешать проезду транспорта.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Прогноз нормы образования ТКО, в том числе крупногабаритных, в </w:t>
      </w:r>
      <w:r w:rsidR="00206252" w:rsidRPr="00317548">
        <w:rPr>
          <w:rFonts w:ascii="Times New Roman" w:hAnsi="Times New Roman" w:cs="Times New Roman"/>
          <w:sz w:val="28"/>
          <w:szCs w:val="28"/>
        </w:rPr>
        <w:t xml:space="preserve">             г. </w:t>
      </w:r>
      <w:r w:rsidR="00842322" w:rsidRPr="00317548">
        <w:rPr>
          <w:rFonts w:ascii="Times New Roman" w:hAnsi="Times New Roman" w:cs="Times New Roman"/>
          <w:sz w:val="28"/>
          <w:szCs w:val="28"/>
        </w:rPr>
        <w:t>Зеленогорск</w:t>
      </w:r>
      <w:r w:rsidR="00206252" w:rsidRPr="00317548">
        <w:rPr>
          <w:rFonts w:ascii="Times New Roman" w:hAnsi="Times New Roman" w:cs="Times New Roman"/>
          <w:sz w:val="28"/>
          <w:szCs w:val="28"/>
        </w:rPr>
        <w:t>е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приводится в Территориальной </w:t>
      </w:r>
      <w:hyperlink r:id="rId28" w:history="1">
        <w:r w:rsidRPr="00317548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</w:t>
      </w:r>
      <w:r w:rsidR="00134609" w:rsidRPr="00317548">
        <w:rPr>
          <w:rFonts w:ascii="Times New Roman" w:hAnsi="Times New Roman" w:cs="Times New Roman"/>
          <w:sz w:val="28"/>
          <w:szCs w:val="28"/>
        </w:rPr>
        <w:t>расноярском крае, утвержденной п</w:t>
      </w:r>
      <w:r w:rsidRPr="00317548">
        <w:rPr>
          <w:rFonts w:ascii="Times New Roman" w:hAnsi="Times New Roman" w:cs="Times New Roman"/>
          <w:sz w:val="28"/>
          <w:szCs w:val="28"/>
        </w:rPr>
        <w:t>риказом министерства природных ресурсов и экологии Красноярского края от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23.09.2016 № 1/451-од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территориальной схемы обращения с отходами, в том числе с твердыми коммунальным</w:t>
      </w:r>
      <w:r w:rsidR="00842322" w:rsidRPr="00317548">
        <w:rPr>
          <w:rFonts w:ascii="Times New Roman" w:hAnsi="Times New Roman" w:cs="Times New Roman"/>
          <w:sz w:val="28"/>
          <w:szCs w:val="28"/>
        </w:rPr>
        <w:t>и отходами, в Красноярском крае» (далее - Приказ №</w:t>
      </w:r>
      <w:r w:rsidRPr="0031754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451-од).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Прогноз выполнен на основании расчетных норм образования ТКО с учетом их ежегодного увеличения. К 2020 году в </w:t>
      </w:r>
      <w:r w:rsidR="00B44148" w:rsidRPr="003175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6252" w:rsidRPr="00317548">
        <w:rPr>
          <w:rFonts w:ascii="Times New Roman" w:hAnsi="Times New Roman" w:cs="Times New Roman"/>
          <w:sz w:val="28"/>
          <w:szCs w:val="28"/>
        </w:rPr>
        <w:t>г.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Зеленогорске образование ТКО составит 28898 т/год, к 2025 - 28625 т/год, к 2035 </w:t>
      </w:r>
      <w:r w:rsidR="00134609" w:rsidRPr="00317548">
        <w:rPr>
          <w:rFonts w:ascii="Times New Roman" w:hAnsi="Times New Roman" w:cs="Times New Roman"/>
          <w:sz w:val="28"/>
          <w:szCs w:val="28"/>
        </w:rPr>
        <w:t>–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28439</w:t>
      </w:r>
      <w:r w:rsidR="00134609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т/год.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Размещение объектов, предназначенных для обработки, утилизации, обезвреживания и размещения отходов, предусмотрено Территориальной </w:t>
      </w:r>
      <w:hyperlink r:id="rId29" w:history="1">
        <w:r w:rsidRPr="00317548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Красноярск</w:t>
      </w:r>
      <w:r w:rsidR="0083313F" w:rsidRPr="00317548">
        <w:rPr>
          <w:rFonts w:ascii="Times New Roman" w:hAnsi="Times New Roman" w:cs="Times New Roman"/>
          <w:sz w:val="28"/>
          <w:szCs w:val="28"/>
        </w:rPr>
        <w:t>ом крае, утвержденной Приказом №</w:t>
      </w:r>
      <w:r w:rsidRPr="00317548">
        <w:rPr>
          <w:rFonts w:ascii="Times New Roman" w:hAnsi="Times New Roman" w:cs="Times New Roman"/>
          <w:sz w:val="28"/>
          <w:szCs w:val="28"/>
        </w:rPr>
        <w:t xml:space="preserve"> 1/451-од, а также законодательством </w:t>
      </w:r>
      <w:r w:rsidR="001F316B" w:rsidRPr="0031754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317548">
        <w:rPr>
          <w:rFonts w:ascii="Times New Roman" w:hAnsi="Times New Roman" w:cs="Times New Roman"/>
          <w:sz w:val="28"/>
          <w:szCs w:val="28"/>
        </w:rPr>
        <w:t>в сфере обращения с отходами.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1F316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3.10. Муниципальный жилищный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фонд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721915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671A23" w:rsidRPr="00317548">
        <w:rPr>
          <w:rFonts w:ascii="Times New Roman" w:hAnsi="Times New Roman" w:cs="Times New Roman"/>
          <w:sz w:val="28"/>
          <w:szCs w:val="28"/>
        </w:rPr>
        <w:t>площадью жилых помещений муниципального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317548">
        <w:rPr>
          <w:rFonts w:ascii="Times New Roman" w:hAnsi="Times New Roman" w:cs="Times New Roman"/>
          <w:sz w:val="28"/>
          <w:szCs w:val="28"/>
        </w:rPr>
        <w:t>жилищного</w:t>
      </w:r>
      <w:r w:rsidR="001F316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317548">
        <w:rPr>
          <w:rFonts w:ascii="Times New Roman" w:hAnsi="Times New Roman" w:cs="Times New Roman"/>
          <w:sz w:val="28"/>
          <w:szCs w:val="28"/>
        </w:rPr>
        <w:t>фонда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установлен в соответствии с </w:t>
      </w:r>
      <w:r w:rsidR="00721915" w:rsidRPr="00317548">
        <w:rPr>
          <w:rFonts w:ascii="Times New Roman" w:hAnsi="Times New Roman" w:cs="Times New Roman"/>
          <w:sz w:val="28"/>
          <w:szCs w:val="28"/>
        </w:rPr>
        <w:t>Жилищным кодексом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30" w:history="1">
        <w:r w:rsidR="00671A23" w:rsidRPr="00317548">
          <w:rPr>
            <w:rFonts w:ascii="Times New Roman" w:hAnsi="Times New Roman" w:cs="Times New Roman"/>
            <w:sz w:val="28"/>
            <w:szCs w:val="28"/>
          </w:rPr>
          <w:t>р</w:t>
        </w:r>
        <w:r w:rsidR="00C14C7F" w:rsidRPr="00317548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ЗАТО г. </w:t>
      </w:r>
      <w:r w:rsidR="00E47C3A" w:rsidRPr="00317548">
        <w:rPr>
          <w:rFonts w:ascii="Times New Roman" w:hAnsi="Times New Roman" w:cs="Times New Roman"/>
          <w:sz w:val="28"/>
          <w:szCs w:val="28"/>
        </w:rPr>
        <w:t>Зеленогорск</w:t>
      </w:r>
      <w:r w:rsidR="00671A23" w:rsidRPr="00317548">
        <w:rPr>
          <w:rFonts w:ascii="Times New Roman" w:hAnsi="Times New Roman" w:cs="Times New Roman"/>
          <w:sz w:val="28"/>
          <w:szCs w:val="28"/>
        </w:rPr>
        <w:t>а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 от 29.06.2015 № 12-69р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 установлении нормы предоставления площади жилого помещения по договору социального найма и учетной нормы жилого помещения на 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7C3A" w:rsidRPr="00317548">
        <w:rPr>
          <w:rFonts w:ascii="Times New Roman" w:hAnsi="Times New Roman" w:cs="Times New Roman"/>
          <w:sz w:val="28"/>
          <w:szCs w:val="28"/>
        </w:rPr>
        <w:t>г. Зеленогорска»</w:t>
      </w:r>
      <w:r w:rsidR="00AD10AA" w:rsidRPr="00317548">
        <w:rPr>
          <w:rFonts w:ascii="Times New Roman" w:hAnsi="Times New Roman" w:cs="Times New Roman"/>
          <w:sz w:val="28"/>
          <w:szCs w:val="28"/>
        </w:rPr>
        <w:t xml:space="preserve"> с учетом таблицы 78 Региональных нормативов</w:t>
      </w:r>
      <w:r w:rsidR="00721915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жилых помещений муниципального жилищного фонда не нормируется.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3.11. </w:t>
      </w:r>
      <w:r w:rsidR="00721915" w:rsidRPr="00317548">
        <w:rPr>
          <w:rFonts w:ascii="Times New Roman" w:hAnsi="Times New Roman" w:cs="Times New Roman"/>
          <w:sz w:val="28"/>
          <w:szCs w:val="28"/>
        </w:rPr>
        <w:t>А</w:t>
      </w:r>
      <w:r w:rsidRPr="00317548">
        <w:rPr>
          <w:rFonts w:ascii="Times New Roman" w:hAnsi="Times New Roman" w:cs="Times New Roman"/>
          <w:sz w:val="28"/>
          <w:szCs w:val="28"/>
        </w:rPr>
        <w:t>рхив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54C2C" w:rsidRPr="00317548" w:rsidRDefault="00206252" w:rsidP="00F0300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Расчетный показатель минимально допустимого уровня </w:t>
      </w:r>
      <w:r w:rsidR="00C54C2C" w:rsidRPr="00317548">
        <w:rPr>
          <w:rFonts w:ascii="Times New Roman" w:hAnsi="Times New Roman" w:cs="Times New Roman"/>
          <w:sz w:val="28"/>
          <w:szCs w:val="28"/>
        </w:rPr>
        <w:t>обеспеченности архивами устанавливается в количестве 1 объекта на городской округ в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3005" w:rsidRPr="00317548">
        <w:rPr>
          <w:rFonts w:ascii="Times New Roman" w:hAnsi="Times New Roman" w:cs="Times New Roman"/>
          <w:sz w:val="28"/>
          <w:szCs w:val="28"/>
        </w:rPr>
        <w:t>табли</w:t>
      </w:r>
      <w:r w:rsidR="00721915" w:rsidRPr="00317548">
        <w:rPr>
          <w:rFonts w:ascii="Times New Roman" w:hAnsi="Times New Roman" w:cs="Times New Roman"/>
          <w:sz w:val="28"/>
          <w:szCs w:val="28"/>
        </w:rPr>
        <w:t>цей</w:t>
      </w:r>
      <w:r w:rsidR="00F03005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  <w:r w:rsidR="00006ACC" w:rsidRPr="0031754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муниципального архива - 600 м/10 мин. (пешеходная доступность от остановки общественного транспорта). Установление 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 общественного назначения.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58F" w:rsidRPr="00317548" w:rsidRDefault="00671A23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3.12. Объекты иного назначения,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="00BE15F0" w:rsidRPr="00317548">
        <w:rPr>
          <w:rFonts w:ascii="Times New Roman" w:hAnsi="Times New Roman" w:cs="Times New Roman"/>
          <w:sz w:val="28"/>
          <w:szCs w:val="28"/>
        </w:rPr>
        <w:t>оказания услуг</w:t>
      </w:r>
      <w:r w:rsidR="002E458F" w:rsidRPr="00317548"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 и бытового обслуживания.</w:t>
      </w:r>
    </w:p>
    <w:p w:rsidR="009447FD" w:rsidRPr="00317548" w:rsidRDefault="00AC024D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206252" w:rsidRPr="00317548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населения площадью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r w:rsidR="00671A23" w:rsidRPr="00317548">
        <w:rPr>
          <w:rFonts w:ascii="Times New Roman" w:hAnsi="Times New Roman" w:cs="Times New Roman"/>
          <w:sz w:val="28"/>
          <w:szCs w:val="28"/>
        </w:rPr>
        <w:t>торговых объектов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317548">
        <w:rPr>
          <w:rFonts w:ascii="Times New Roman" w:hAnsi="Times New Roman" w:cs="Times New Roman"/>
          <w:sz w:val="28"/>
          <w:szCs w:val="28"/>
        </w:rPr>
        <w:t>торговых объектов устанавливаю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r:id="rId31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795DCC" w:rsidRPr="00317548">
        <w:rPr>
          <w:rFonts w:ascii="Times New Roman" w:hAnsi="Times New Roman" w:cs="Times New Roman"/>
          <w:sz w:val="28"/>
          <w:szCs w:val="28"/>
        </w:rPr>
        <w:t>асноярского края от 26.01.2017 №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3-396 «</w:t>
      </w:r>
      <w:r w:rsidR="00C14C7F" w:rsidRPr="00317548">
        <w:rPr>
          <w:rFonts w:ascii="Times New Roman" w:hAnsi="Times New Roman" w:cs="Times New Roman"/>
          <w:sz w:val="28"/>
          <w:szCs w:val="28"/>
        </w:rPr>
        <w:t>О нормативах минимальной обеспеченности населения площадью торговых объектов для Красноярского края и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края»</w:t>
      </w:r>
      <w:r w:rsidR="009447FD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317548">
        <w:rPr>
          <w:rFonts w:ascii="Times New Roman" w:hAnsi="Times New Roman" w:cs="Times New Roman"/>
          <w:sz w:val="28"/>
          <w:szCs w:val="28"/>
        </w:rPr>
        <w:t>енности 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ости объектов иного назначения, </w:t>
      </w:r>
      <w:r w:rsidR="00721915" w:rsidRPr="00317548">
        <w:rPr>
          <w:rFonts w:ascii="Times New Roman" w:hAnsi="Times New Roman" w:cs="Times New Roman"/>
          <w:sz w:val="28"/>
          <w:szCs w:val="28"/>
        </w:rPr>
        <w:t>предназначенные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2E458F" w:rsidRPr="00317548">
        <w:rPr>
          <w:rFonts w:ascii="Times New Roman" w:hAnsi="Times New Roman" w:cs="Times New Roman"/>
          <w:sz w:val="28"/>
          <w:szCs w:val="28"/>
        </w:rPr>
        <w:t>оказания услуг торговли, общественного питания и бытового обслуживания</w:t>
      </w:r>
      <w:r w:rsidR="00671A23" w:rsidRPr="00317548">
        <w:rPr>
          <w:rFonts w:ascii="Times New Roman" w:hAnsi="Times New Roman" w:cs="Times New Roman"/>
          <w:sz w:val="28"/>
          <w:szCs w:val="28"/>
        </w:rPr>
        <w:t>,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устанавливаются в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со сводом</w:t>
      </w:r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2" w:history="1">
        <w:r w:rsidR="00DD4518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7639AD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721915" w:rsidRPr="00317548">
        <w:rPr>
          <w:rFonts w:ascii="Times New Roman" w:hAnsi="Times New Roman" w:cs="Times New Roman"/>
          <w:sz w:val="28"/>
          <w:szCs w:val="28"/>
        </w:rPr>
        <w:t>Региональных нормативов.</w:t>
      </w:r>
      <w:r w:rsidR="00BE15F0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DC0720" w:rsidRPr="00317548">
        <w:rPr>
          <w:rFonts w:ascii="Times New Roman" w:hAnsi="Times New Roman" w:cs="Times New Roman"/>
          <w:sz w:val="28"/>
          <w:szCs w:val="28"/>
        </w:rPr>
        <w:t>3. Организации социального обслуживания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DC0720" w:rsidRPr="00317548">
        <w:rPr>
          <w:rFonts w:ascii="Times New Roman" w:hAnsi="Times New Roman" w:cs="Times New Roman"/>
          <w:sz w:val="28"/>
          <w:szCs w:val="28"/>
        </w:rPr>
        <w:t xml:space="preserve">граждан, признанных нуждающимися в социальном обслуживании </w:t>
      </w:r>
      <w:r w:rsidRPr="00317548">
        <w:rPr>
          <w:rFonts w:ascii="Times New Roman" w:hAnsi="Times New Roman" w:cs="Times New Roman"/>
          <w:sz w:val="28"/>
          <w:szCs w:val="28"/>
        </w:rPr>
        <w:t>в границах городского округа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463EA9" w:rsidRPr="00317548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социального обслуживания для граждан, признанных нуждающимися в социальном обслуживании, принят в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таблицей </w:t>
      </w:r>
      <w:r w:rsidR="006B7D97" w:rsidRPr="00317548">
        <w:rPr>
          <w:rFonts w:ascii="Times New Roman" w:hAnsi="Times New Roman" w:cs="Times New Roman"/>
          <w:sz w:val="28"/>
          <w:szCs w:val="28"/>
        </w:rPr>
        <w:t>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таких объектов для населения </w:t>
      </w:r>
      <w:r w:rsidRPr="00317548">
        <w:rPr>
          <w:rFonts w:ascii="Times New Roman" w:hAnsi="Times New Roman" w:cs="Times New Roman"/>
          <w:sz w:val="28"/>
          <w:szCs w:val="28"/>
        </w:rPr>
        <w:t>г.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устанавливается относительно остановок общественного транспорта в связи с максимальной доступностью общественного транспорта для граждан, признанных нуждающимися в социальном обслуживании, и необходимостью развития комфортной городской среды, ориентированной на систему общественного транспорта.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22D8" w:rsidRPr="00317548" w:rsidRDefault="00D022D8" w:rsidP="00D022D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4. </w:t>
      </w:r>
      <w:r w:rsidR="00627626" w:rsidRPr="00317548">
        <w:rPr>
          <w:rFonts w:ascii="Times New Roman" w:hAnsi="Times New Roman" w:cs="Times New Roman"/>
          <w:sz w:val="28"/>
          <w:szCs w:val="28"/>
        </w:rPr>
        <w:t>Правила и о</w:t>
      </w:r>
      <w:r w:rsidRPr="00317548">
        <w:rPr>
          <w:rFonts w:ascii="Times New Roman" w:hAnsi="Times New Roman" w:cs="Times New Roman"/>
          <w:sz w:val="28"/>
          <w:szCs w:val="28"/>
        </w:rPr>
        <w:t>бласть применения расчетных показателей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626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4.1.</w:t>
      </w:r>
      <w:r w:rsidR="00627626" w:rsidRPr="00317548">
        <w:rPr>
          <w:rFonts w:ascii="Times New Roman" w:hAnsi="Times New Roman" w:cs="Times New Roman"/>
          <w:sz w:val="28"/>
          <w:szCs w:val="28"/>
        </w:rPr>
        <w:t xml:space="preserve"> Расчетные показатели, установленные в Местных нормативах, применяются при подготовке документов территориального планирования, Правил землепользования и застройки г. Зеленогорска, документации по планировке территории.</w:t>
      </w:r>
    </w:p>
    <w:p w:rsidR="00627626" w:rsidRPr="00317548" w:rsidRDefault="00466B1B" w:rsidP="00D744CF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627626" w:rsidRPr="00317548">
        <w:rPr>
          <w:rFonts w:ascii="Times New Roman" w:hAnsi="Times New Roman" w:cs="Times New Roman"/>
          <w:sz w:val="28"/>
          <w:szCs w:val="28"/>
        </w:rPr>
        <w:t>Расчетные показатели подлежат применению разработчиком градостроительной документации, заказчиком градостроительной документации.</w:t>
      </w:r>
    </w:p>
    <w:p w:rsidR="00C14C7F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4.3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установленные Местными нормативами,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образования, установленных Региональными нормативами.</w:t>
      </w:r>
      <w:proofErr w:type="gramEnd"/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Если в случае внесения изменений в Региональные нормативы предельные значения расчетных показателей минимально допустимого уровня обеспеченности объектами местного значения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>станут выше расчетных показателей минимально допустимого уровня обеспеченности объектами местного значения,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4.5</w:t>
      </w:r>
      <w:r w:rsidR="00C14C7F" w:rsidRPr="00317548">
        <w:rPr>
          <w:rFonts w:ascii="Times New Roman" w:hAnsi="Times New Roman" w:cs="Times New Roman"/>
          <w:sz w:val="28"/>
          <w:szCs w:val="28"/>
        </w:rPr>
        <w:t>. Расчетные показатели максимально допустимого уровня территориальной доступности объектов местного значения для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установленные Местными нормативами,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Региональными нормативами.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4.6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Если в случае внесения изменений в Региональные нормативы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D254EC" w:rsidRPr="003175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станут ниже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  <w:proofErr w:type="gramEnd"/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3559" w:rsidRPr="00317548" w:rsidRDefault="00753559" w:rsidP="00FD43D1">
      <w:pPr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</w:rPr>
      </w:pPr>
    </w:p>
    <w:sectPr w:rsidR="00753559" w:rsidRPr="00317548" w:rsidSect="00595326">
      <w:pgSz w:w="11906" w:h="16838"/>
      <w:pgMar w:top="1134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5D"/>
    <w:rsid w:val="00001631"/>
    <w:rsid w:val="00005B27"/>
    <w:rsid w:val="00006ACC"/>
    <w:rsid w:val="0000704B"/>
    <w:rsid w:val="00007541"/>
    <w:rsid w:val="00014206"/>
    <w:rsid w:val="000239F6"/>
    <w:rsid w:val="000436C6"/>
    <w:rsid w:val="00043DB4"/>
    <w:rsid w:val="00046643"/>
    <w:rsid w:val="00074C8D"/>
    <w:rsid w:val="00074CBC"/>
    <w:rsid w:val="0007595D"/>
    <w:rsid w:val="00077E0C"/>
    <w:rsid w:val="00087BBD"/>
    <w:rsid w:val="00090524"/>
    <w:rsid w:val="00093384"/>
    <w:rsid w:val="000A055A"/>
    <w:rsid w:val="000A3407"/>
    <w:rsid w:val="000B2F44"/>
    <w:rsid w:val="000B4F1F"/>
    <w:rsid w:val="000B5816"/>
    <w:rsid w:val="000C53F4"/>
    <w:rsid w:val="000D2D48"/>
    <w:rsid w:val="000E11B5"/>
    <w:rsid w:val="000E548F"/>
    <w:rsid w:val="0010237D"/>
    <w:rsid w:val="001067EC"/>
    <w:rsid w:val="00111F8A"/>
    <w:rsid w:val="00112DD4"/>
    <w:rsid w:val="00113D0A"/>
    <w:rsid w:val="001255DA"/>
    <w:rsid w:val="001304F0"/>
    <w:rsid w:val="0013121D"/>
    <w:rsid w:val="00131AF9"/>
    <w:rsid w:val="00132843"/>
    <w:rsid w:val="00134609"/>
    <w:rsid w:val="001422B4"/>
    <w:rsid w:val="00144205"/>
    <w:rsid w:val="00152F25"/>
    <w:rsid w:val="001631B2"/>
    <w:rsid w:val="00165DAF"/>
    <w:rsid w:val="00167495"/>
    <w:rsid w:val="0017259A"/>
    <w:rsid w:val="00174DCA"/>
    <w:rsid w:val="00175792"/>
    <w:rsid w:val="001920B3"/>
    <w:rsid w:val="001937AB"/>
    <w:rsid w:val="001A7046"/>
    <w:rsid w:val="001B3DB2"/>
    <w:rsid w:val="001C0209"/>
    <w:rsid w:val="001C75AF"/>
    <w:rsid w:val="001D5413"/>
    <w:rsid w:val="001D7606"/>
    <w:rsid w:val="001D7A75"/>
    <w:rsid w:val="001E2EF6"/>
    <w:rsid w:val="001E7357"/>
    <w:rsid w:val="001F26A8"/>
    <w:rsid w:val="001F316B"/>
    <w:rsid w:val="00206252"/>
    <w:rsid w:val="00207977"/>
    <w:rsid w:val="002147E9"/>
    <w:rsid w:val="002309D7"/>
    <w:rsid w:val="00233010"/>
    <w:rsid w:val="0024208C"/>
    <w:rsid w:val="00245C24"/>
    <w:rsid w:val="002550D5"/>
    <w:rsid w:val="002604C8"/>
    <w:rsid w:val="0026185B"/>
    <w:rsid w:val="002650B8"/>
    <w:rsid w:val="0027168F"/>
    <w:rsid w:val="0027388D"/>
    <w:rsid w:val="00282116"/>
    <w:rsid w:val="00282EFD"/>
    <w:rsid w:val="002831C3"/>
    <w:rsid w:val="002A1CE0"/>
    <w:rsid w:val="002A28C0"/>
    <w:rsid w:val="002B2589"/>
    <w:rsid w:val="002B5091"/>
    <w:rsid w:val="002B6AAB"/>
    <w:rsid w:val="002B7824"/>
    <w:rsid w:val="002C6010"/>
    <w:rsid w:val="002E3C1E"/>
    <w:rsid w:val="002E458F"/>
    <w:rsid w:val="002F60A7"/>
    <w:rsid w:val="002F6918"/>
    <w:rsid w:val="00300194"/>
    <w:rsid w:val="003036CA"/>
    <w:rsid w:val="003124A1"/>
    <w:rsid w:val="00312B53"/>
    <w:rsid w:val="0031389F"/>
    <w:rsid w:val="00313E3F"/>
    <w:rsid w:val="00315094"/>
    <w:rsid w:val="00317548"/>
    <w:rsid w:val="003179B1"/>
    <w:rsid w:val="0032534E"/>
    <w:rsid w:val="00342E31"/>
    <w:rsid w:val="003435C9"/>
    <w:rsid w:val="0035225D"/>
    <w:rsid w:val="003561CD"/>
    <w:rsid w:val="00362620"/>
    <w:rsid w:val="00364E17"/>
    <w:rsid w:val="003826A5"/>
    <w:rsid w:val="0039218B"/>
    <w:rsid w:val="00395539"/>
    <w:rsid w:val="0039648D"/>
    <w:rsid w:val="003A1790"/>
    <w:rsid w:val="003A3B93"/>
    <w:rsid w:val="003A56F7"/>
    <w:rsid w:val="003A6884"/>
    <w:rsid w:val="003C3AFC"/>
    <w:rsid w:val="003C4F16"/>
    <w:rsid w:val="003D394F"/>
    <w:rsid w:val="003D3EB6"/>
    <w:rsid w:val="003E5C4A"/>
    <w:rsid w:val="00402C2D"/>
    <w:rsid w:val="00403DFE"/>
    <w:rsid w:val="00404707"/>
    <w:rsid w:val="00411870"/>
    <w:rsid w:val="004179E8"/>
    <w:rsid w:val="0042183F"/>
    <w:rsid w:val="004233C4"/>
    <w:rsid w:val="00423799"/>
    <w:rsid w:val="00424035"/>
    <w:rsid w:val="00425879"/>
    <w:rsid w:val="004279CD"/>
    <w:rsid w:val="00430567"/>
    <w:rsid w:val="00430A55"/>
    <w:rsid w:val="00431C26"/>
    <w:rsid w:val="00444699"/>
    <w:rsid w:val="004466B0"/>
    <w:rsid w:val="00447943"/>
    <w:rsid w:val="00450D64"/>
    <w:rsid w:val="00460DAC"/>
    <w:rsid w:val="00463EA9"/>
    <w:rsid w:val="00466B1B"/>
    <w:rsid w:val="00470BA9"/>
    <w:rsid w:val="00476BCF"/>
    <w:rsid w:val="00485EBD"/>
    <w:rsid w:val="00490B05"/>
    <w:rsid w:val="00490F92"/>
    <w:rsid w:val="00494BDC"/>
    <w:rsid w:val="004A1BF3"/>
    <w:rsid w:val="004A2763"/>
    <w:rsid w:val="004A6985"/>
    <w:rsid w:val="004B50C4"/>
    <w:rsid w:val="004C080D"/>
    <w:rsid w:val="004C240A"/>
    <w:rsid w:val="004C44EE"/>
    <w:rsid w:val="004C511B"/>
    <w:rsid w:val="004D47D1"/>
    <w:rsid w:val="004E38AB"/>
    <w:rsid w:val="005337CE"/>
    <w:rsid w:val="005403BD"/>
    <w:rsid w:val="0054371B"/>
    <w:rsid w:val="0054610A"/>
    <w:rsid w:val="00546F7C"/>
    <w:rsid w:val="00550742"/>
    <w:rsid w:val="005576FC"/>
    <w:rsid w:val="00560653"/>
    <w:rsid w:val="005613C1"/>
    <w:rsid w:val="0056180C"/>
    <w:rsid w:val="00571396"/>
    <w:rsid w:val="00573704"/>
    <w:rsid w:val="005816C1"/>
    <w:rsid w:val="00590442"/>
    <w:rsid w:val="00594F15"/>
    <w:rsid w:val="00595326"/>
    <w:rsid w:val="005A1C55"/>
    <w:rsid w:val="005A289A"/>
    <w:rsid w:val="005B0480"/>
    <w:rsid w:val="005B25D8"/>
    <w:rsid w:val="005B6663"/>
    <w:rsid w:val="005C46EC"/>
    <w:rsid w:val="005D0AAA"/>
    <w:rsid w:val="005D17BC"/>
    <w:rsid w:val="005D3ABE"/>
    <w:rsid w:val="005E3617"/>
    <w:rsid w:val="005F0E7F"/>
    <w:rsid w:val="005F502C"/>
    <w:rsid w:val="006042BC"/>
    <w:rsid w:val="00606263"/>
    <w:rsid w:val="00611EC8"/>
    <w:rsid w:val="00617C8A"/>
    <w:rsid w:val="006248A0"/>
    <w:rsid w:val="00625370"/>
    <w:rsid w:val="00625607"/>
    <w:rsid w:val="00627626"/>
    <w:rsid w:val="006360DF"/>
    <w:rsid w:val="0064412C"/>
    <w:rsid w:val="00644B4E"/>
    <w:rsid w:val="00651AC5"/>
    <w:rsid w:val="00657062"/>
    <w:rsid w:val="006606BB"/>
    <w:rsid w:val="0066415D"/>
    <w:rsid w:val="006673D7"/>
    <w:rsid w:val="00671A23"/>
    <w:rsid w:val="006805A3"/>
    <w:rsid w:val="006833BD"/>
    <w:rsid w:val="00683D63"/>
    <w:rsid w:val="00687503"/>
    <w:rsid w:val="00697D05"/>
    <w:rsid w:val="006A24A4"/>
    <w:rsid w:val="006A4C5C"/>
    <w:rsid w:val="006B4366"/>
    <w:rsid w:val="006B7D97"/>
    <w:rsid w:val="006C0562"/>
    <w:rsid w:val="006D217A"/>
    <w:rsid w:val="006D5F3E"/>
    <w:rsid w:val="006E052C"/>
    <w:rsid w:val="006E2B99"/>
    <w:rsid w:val="006E4769"/>
    <w:rsid w:val="006E64EB"/>
    <w:rsid w:val="006E761F"/>
    <w:rsid w:val="006E7DFC"/>
    <w:rsid w:val="006E7F69"/>
    <w:rsid w:val="006F3AAD"/>
    <w:rsid w:val="006F51A7"/>
    <w:rsid w:val="00702536"/>
    <w:rsid w:val="00704C66"/>
    <w:rsid w:val="0072078C"/>
    <w:rsid w:val="00721915"/>
    <w:rsid w:val="0075040B"/>
    <w:rsid w:val="00753032"/>
    <w:rsid w:val="00753559"/>
    <w:rsid w:val="007543AF"/>
    <w:rsid w:val="0076241F"/>
    <w:rsid w:val="007639AD"/>
    <w:rsid w:val="00774280"/>
    <w:rsid w:val="00782BDD"/>
    <w:rsid w:val="0078304C"/>
    <w:rsid w:val="0079562F"/>
    <w:rsid w:val="00795DCC"/>
    <w:rsid w:val="007A13D1"/>
    <w:rsid w:val="007A7EA5"/>
    <w:rsid w:val="007B05EC"/>
    <w:rsid w:val="007B63C8"/>
    <w:rsid w:val="007C6991"/>
    <w:rsid w:val="007D4522"/>
    <w:rsid w:val="007E632B"/>
    <w:rsid w:val="007F0520"/>
    <w:rsid w:val="008050A0"/>
    <w:rsid w:val="00811333"/>
    <w:rsid w:val="0083256D"/>
    <w:rsid w:val="0083313F"/>
    <w:rsid w:val="00842322"/>
    <w:rsid w:val="008553AA"/>
    <w:rsid w:val="00863704"/>
    <w:rsid w:val="00864C8F"/>
    <w:rsid w:val="008663B5"/>
    <w:rsid w:val="008717AB"/>
    <w:rsid w:val="00871C15"/>
    <w:rsid w:val="00873DFE"/>
    <w:rsid w:val="00877D0C"/>
    <w:rsid w:val="00883045"/>
    <w:rsid w:val="0088603B"/>
    <w:rsid w:val="008904AC"/>
    <w:rsid w:val="00892F13"/>
    <w:rsid w:val="008A013C"/>
    <w:rsid w:val="008A1D70"/>
    <w:rsid w:val="008A5C04"/>
    <w:rsid w:val="008B13D6"/>
    <w:rsid w:val="008B5300"/>
    <w:rsid w:val="008C144A"/>
    <w:rsid w:val="008D4156"/>
    <w:rsid w:val="008E3249"/>
    <w:rsid w:val="008E4A57"/>
    <w:rsid w:val="008E70D5"/>
    <w:rsid w:val="008F1E39"/>
    <w:rsid w:val="008F7DF5"/>
    <w:rsid w:val="00907A02"/>
    <w:rsid w:val="00910FA4"/>
    <w:rsid w:val="00916D7E"/>
    <w:rsid w:val="00922A67"/>
    <w:rsid w:val="00935E76"/>
    <w:rsid w:val="00942245"/>
    <w:rsid w:val="009447FD"/>
    <w:rsid w:val="009562DB"/>
    <w:rsid w:val="009604DA"/>
    <w:rsid w:val="0096177B"/>
    <w:rsid w:val="00976DD2"/>
    <w:rsid w:val="00985848"/>
    <w:rsid w:val="009931DE"/>
    <w:rsid w:val="009C0307"/>
    <w:rsid w:val="009C2BD4"/>
    <w:rsid w:val="009C567E"/>
    <w:rsid w:val="009D19A6"/>
    <w:rsid w:val="009D4CC3"/>
    <w:rsid w:val="009E358E"/>
    <w:rsid w:val="009E47D0"/>
    <w:rsid w:val="009E6FA3"/>
    <w:rsid w:val="009F21DA"/>
    <w:rsid w:val="009F2E05"/>
    <w:rsid w:val="00A03A59"/>
    <w:rsid w:val="00A0405B"/>
    <w:rsid w:val="00A06EFA"/>
    <w:rsid w:val="00A110A6"/>
    <w:rsid w:val="00A153FE"/>
    <w:rsid w:val="00A16533"/>
    <w:rsid w:val="00A25C51"/>
    <w:rsid w:val="00A34ED7"/>
    <w:rsid w:val="00A35800"/>
    <w:rsid w:val="00A56C0C"/>
    <w:rsid w:val="00A62D1A"/>
    <w:rsid w:val="00A66BB5"/>
    <w:rsid w:val="00A66E18"/>
    <w:rsid w:val="00A825CE"/>
    <w:rsid w:val="00A86DC7"/>
    <w:rsid w:val="00A8705E"/>
    <w:rsid w:val="00A959CA"/>
    <w:rsid w:val="00A971D3"/>
    <w:rsid w:val="00AA4BD1"/>
    <w:rsid w:val="00AB2E3A"/>
    <w:rsid w:val="00AC024D"/>
    <w:rsid w:val="00AC5579"/>
    <w:rsid w:val="00AD10AA"/>
    <w:rsid w:val="00AD2BBE"/>
    <w:rsid w:val="00AE407A"/>
    <w:rsid w:val="00AF10E7"/>
    <w:rsid w:val="00AF3D6A"/>
    <w:rsid w:val="00AF469A"/>
    <w:rsid w:val="00AF79C7"/>
    <w:rsid w:val="00B0041E"/>
    <w:rsid w:val="00B01326"/>
    <w:rsid w:val="00B04949"/>
    <w:rsid w:val="00B074A9"/>
    <w:rsid w:val="00B150B4"/>
    <w:rsid w:val="00B34E16"/>
    <w:rsid w:val="00B361A1"/>
    <w:rsid w:val="00B42168"/>
    <w:rsid w:val="00B43180"/>
    <w:rsid w:val="00B4354B"/>
    <w:rsid w:val="00B44148"/>
    <w:rsid w:val="00B47120"/>
    <w:rsid w:val="00B54E6C"/>
    <w:rsid w:val="00B60A6A"/>
    <w:rsid w:val="00B62358"/>
    <w:rsid w:val="00B71377"/>
    <w:rsid w:val="00B73621"/>
    <w:rsid w:val="00B73EC5"/>
    <w:rsid w:val="00B7580C"/>
    <w:rsid w:val="00B75B92"/>
    <w:rsid w:val="00B82170"/>
    <w:rsid w:val="00B848D0"/>
    <w:rsid w:val="00B853C0"/>
    <w:rsid w:val="00B85954"/>
    <w:rsid w:val="00B87B52"/>
    <w:rsid w:val="00B900D5"/>
    <w:rsid w:val="00B91C2D"/>
    <w:rsid w:val="00B92765"/>
    <w:rsid w:val="00B96474"/>
    <w:rsid w:val="00BA42D4"/>
    <w:rsid w:val="00BB4ACA"/>
    <w:rsid w:val="00BB4B63"/>
    <w:rsid w:val="00BB5DBE"/>
    <w:rsid w:val="00BC0DC6"/>
    <w:rsid w:val="00BD098C"/>
    <w:rsid w:val="00BD24F6"/>
    <w:rsid w:val="00BE15F0"/>
    <w:rsid w:val="00BF292A"/>
    <w:rsid w:val="00BF48E6"/>
    <w:rsid w:val="00C02BEB"/>
    <w:rsid w:val="00C02CFE"/>
    <w:rsid w:val="00C1495E"/>
    <w:rsid w:val="00C14C7F"/>
    <w:rsid w:val="00C24268"/>
    <w:rsid w:val="00C24688"/>
    <w:rsid w:val="00C25E23"/>
    <w:rsid w:val="00C328C2"/>
    <w:rsid w:val="00C33681"/>
    <w:rsid w:val="00C337C7"/>
    <w:rsid w:val="00C358A2"/>
    <w:rsid w:val="00C378C8"/>
    <w:rsid w:val="00C439B1"/>
    <w:rsid w:val="00C54C2C"/>
    <w:rsid w:val="00C57C3C"/>
    <w:rsid w:val="00C659DA"/>
    <w:rsid w:val="00C7074F"/>
    <w:rsid w:val="00C72686"/>
    <w:rsid w:val="00C74390"/>
    <w:rsid w:val="00C85F12"/>
    <w:rsid w:val="00C919B7"/>
    <w:rsid w:val="00CA0052"/>
    <w:rsid w:val="00CB2DAB"/>
    <w:rsid w:val="00CB2FE9"/>
    <w:rsid w:val="00CB52B9"/>
    <w:rsid w:val="00CB6918"/>
    <w:rsid w:val="00CC381B"/>
    <w:rsid w:val="00CC6A49"/>
    <w:rsid w:val="00CD4C35"/>
    <w:rsid w:val="00CD7BD0"/>
    <w:rsid w:val="00CE45AA"/>
    <w:rsid w:val="00CE7C1B"/>
    <w:rsid w:val="00CE7C58"/>
    <w:rsid w:val="00D022D8"/>
    <w:rsid w:val="00D06597"/>
    <w:rsid w:val="00D254EC"/>
    <w:rsid w:val="00D3085B"/>
    <w:rsid w:val="00D46937"/>
    <w:rsid w:val="00D63571"/>
    <w:rsid w:val="00D66EDE"/>
    <w:rsid w:val="00D7345B"/>
    <w:rsid w:val="00D744CF"/>
    <w:rsid w:val="00D77394"/>
    <w:rsid w:val="00D80120"/>
    <w:rsid w:val="00D82844"/>
    <w:rsid w:val="00D844A7"/>
    <w:rsid w:val="00D86E62"/>
    <w:rsid w:val="00D95581"/>
    <w:rsid w:val="00D965C6"/>
    <w:rsid w:val="00D969BB"/>
    <w:rsid w:val="00D976BD"/>
    <w:rsid w:val="00DA7697"/>
    <w:rsid w:val="00DC0720"/>
    <w:rsid w:val="00DC10C3"/>
    <w:rsid w:val="00DC30A6"/>
    <w:rsid w:val="00DD259C"/>
    <w:rsid w:val="00DD4518"/>
    <w:rsid w:val="00DE413F"/>
    <w:rsid w:val="00DF2445"/>
    <w:rsid w:val="00DF4B3F"/>
    <w:rsid w:val="00DF5850"/>
    <w:rsid w:val="00DF7D0C"/>
    <w:rsid w:val="00E00D4A"/>
    <w:rsid w:val="00E04D2C"/>
    <w:rsid w:val="00E0778D"/>
    <w:rsid w:val="00E11F0A"/>
    <w:rsid w:val="00E14ADB"/>
    <w:rsid w:val="00E14FD0"/>
    <w:rsid w:val="00E16EE3"/>
    <w:rsid w:val="00E17685"/>
    <w:rsid w:val="00E21852"/>
    <w:rsid w:val="00E23E48"/>
    <w:rsid w:val="00E264A5"/>
    <w:rsid w:val="00E30A4C"/>
    <w:rsid w:val="00E36C4C"/>
    <w:rsid w:val="00E44494"/>
    <w:rsid w:val="00E47C3A"/>
    <w:rsid w:val="00E55D80"/>
    <w:rsid w:val="00E56A58"/>
    <w:rsid w:val="00E6226B"/>
    <w:rsid w:val="00E62EEC"/>
    <w:rsid w:val="00E64FEB"/>
    <w:rsid w:val="00E65ECF"/>
    <w:rsid w:val="00E66436"/>
    <w:rsid w:val="00E67ACA"/>
    <w:rsid w:val="00E73918"/>
    <w:rsid w:val="00E76E72"/>
    <w:rsid w:val="00E835DD"/>
    <w:rsid w:val="00E83AB7"/>
    <w:rsid w:val="00E851C2"/>
    <w:rsid w:val="00E87F85"/>
    <w:rsid w:val="00E94413"/>
    <w:rsid w:val="00EA2E47"/>
    <w:rsid w:val="00EA7E89"/>
    <w:rsid w:val="00EB0DDF"/>
    <w:rsid w:val="00EC6AD3"/>
    <w:rsid w:val="00ED4B1C"/>
    <w:rsid w:val="00EE369F"/>
    <w:rsid w:val="00EE6F57"/>
    <w:rsid w:val="00EF586A"/>
    <w:rsid w:val="00EF709A"/>
    <w:rsid w:val="00EF7668"/>
    <w:rsid w:val="00F013AD"/>
    <w:rsid w:val="00F03005"/>
    <w:rsid w:val="00F06538"/>
    <w:rsid w:val="00F139E3"/>
    <w:rsid w:val="00F14100"/>
    <w:rsid w:val="00F1506D"/>
    <w:rsid w:val="00F155C8"/>
    <w:rsid w:val="00F20FF4"/>
    <w:rsid w:val="00F26520"/>
    <w:rsid w:val="00F311BD"/>
    <w:rsid w:val="00F34C50"/>
    <w:rsid w:val="00F44A1B"/>
    <w:rsid w:val="00F44F2C"/>
    <w:rsid w:val="00F45BD0"/>
    <w:rsid w:val="00F45EBE"/>
    <w:rsid w:val="00F4757D"/>
    <w:rsid w:val="00F53BE7"/>
    <w:rsid w:val="00F6088B"/>
    <w:rsid w:val="00F634A2"/>
    <w:rsid w:val="00F64797"/>
    <w:rsid w:val="00F80682"/>
    <w:rsid w:val="00F843E3"/>
    <w:rsid w:val="00F93848"/>
    <w:rsid w:val="00F97010"/>
    <w:rsid w:val="00FA66AE"/>
    <w:rsid w:val="00FB3AAA"/>
    <w:rsid w:val="00FB6A8F"/>
    <w:rsid w:val="00FC7BF1"/>
    <w:rsid w:val="00FD1EE2"/>
    <w:rsid w:val="00FD36A0"/>
    <w:rsid w:val="00FD3D50"/>
    <w:rsid w:val="00FD43D1"/>
    <w:rsid w:val="00FD62BD"/>
    <w:rsid w:val="00FE03DC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936C395885A550880C901C0FA375679E00C4849D01DD8519D05AFEE747F8D733E1AB179EC8432443B08EBA7B6055943qDI0L" TargetMode="External"/><Relationship Id="rId13" Type="http://schemas.openxmlformats.org/officeDocument/2006/relationships/hyperlink" Target="consultantplus://offline/ref=646936C395885A550880C901C0FA375679E00C4849D419D95C9105AFEE747F8D733E1AB179EC8432443B08EBA7B6055943qDI0L" TargetMode="External"/><Relationship Id="rId18" Type="http://schemas.openxmlformats.org/officeDocument/2006/relationships/hyperlink" Target="consultantplus://offline/ref=646936C395885A550880C819D396685978E95B4449D84E8D0C990FFAB62B26DD346F1CE72BB6D03F583A16EBqAIEL" TargetMode="External"/><Relationship Id="rId26" Type="http://schemas.openxmlformats.org/officeDocument/2006/relationships/hyperlink" Target="consultantplus://offline/ref=646936C395885A550880D70CD696685978E25A4248D2138704C003F8B12479D8217E44E82AABCF3E462614EAA6qAI1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50D053143C2DC4D1301A4968CB61DD87CE49B47777D865C3205CD4BBFe5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2" Type="http://schemas.openxmlformats.org/officeDocument/2006/relationships/hyperlink" Target="consultantplus://offline/ref=646936C395885A550880C901C0FA375679E00C4849D01DD8519D05AFEE747F8D733E1AB179EC8432443B08EBA7B6055943qDI0L" TargetMode="External"/><Relationship Id="rId17" Type="http://schemas.openxmlformats.org/officeDocument/2006/relationships/hyperlink" Target="consultantplus://offline/ref=646936C395885A550880D70CD696685978EE554448D7138704C003F8B12479D8217E44E82AABCF3E462614EAA6qAI1L" TargetMode="External"/><Relationship Id="rId25" Type="http://schemas.openxmlformats.org/officeDocument/2006/relationships/hyperlink" Target="consultantplus://offline/ref=646936C395885A550880C819D396685978EA52424AD84E8D0C990FFAB62B26DD346F1CE72BB6D03F583A16EBqAIE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6936C395885A550880C819D396685978EA52424AD84E8D0C990FFAB62B26DD346F1CE72BB6D03F583A16EBqAIEL" TargetMode="External"/><Relationship Id="rId20" Type="http://schemas.openxmlformats.org/officeDocument/2006/relationships/hyperlink" Target="consultantplus://offline/ref=550D053143C2DC4D1301A4968CB61DD87CE49B47777D865C3205CD4BBFe5H" TargetMode="External"/><Relationship Id="rId29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46936C395885A550880D70CD696685979E852474FD4138704C003F8B12479D8337E1CED2EAEDA6B177C43E7A5AB195842C746B019q6I8L" TargetMode="External"/><Relationship Id="rId24" Type="http://schemas.openxmlformats.org/officeDocument/2006/relationships/hyperlink" Target="consultantplus://offline/ref=646936C395885A550880C819D396685978EA52424AD84E8D0C990FFAB62B26DD346F1CE72BB6D03F583A16EBqAIEL" TargetMode="External"/><Relationship Id="rId32" Type="http://schemas.openxmlformats.org/officeDocument/2006/relationships/hyperlink" Target="consultantplus://offline/ref=646936C395885A550880C819D396685978EA52424AD84E8D0C990FFAB62B26DD346F1CE72BB6D03F583A16EBqAI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6936C395885A550880D70CD696685979E8524C4ED2138704C003F8B12479D8337E1CE428A9D93C413342BBE3FD0A5B41C745B00663C16EqDI2L" TargetMode="External"/><Relationship Id="rId23" Type="http://schemas.openxmlformats.org/officeDocument/2006/relationships/hyperlink" Target="consultantplus://offline/ref=646936C395885A550880D70CD696685978EB5A404DD3138704C003F8B12479D8217E44E82AABCF3E462614EAA6qAI1L" TargetMode="External"/><Relationship Id="rId28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10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9" Type="http://schemas.openxmlformats.org/officeDocument/2006/relationships/hyperlink" Target="consultantplus://offline/ref=646936C395885A550880D70CD696685978EE554448D7138704C003F8B12479D8217E44E82AABCF3E462614EAA6qAI1L" TargetMode="External"/><Relationship Id="rId31" Type="http://schemas.openxmlformats.org/officeDocument/2006/relationships/hyperlink" Target="consultantplus://offline/ref=646936C395885A550880C901C0FA375679E00C4849DB1DD85E9205AFEE747F8D733E1AB179EC8432443B08EBA7B6055943qDI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14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22" Type="http://schemas.openxmlformats.org/officeDocument/2006/relationships/hyperlink" Target="consultantplus://offline/ref=646936C395885A550880C819D396685978E85B404AD84E8D0C990FFAB62B26DD346F1CE72BB6D03F583A16EBqAIEL" TargetMode="External"/><Relationship Id="rId27" Type="http://schemas.openxmlformats.org/officeDocument/2006/relationships/hyperlink" Target="consultantplus://offline/ref=646936C395885A550880D70CD69668597BEB534D41D3138704C003F8B12479D8217E44E82AABCF3E462614EAA6qAI1L" TargetMode="External"/><Relationship Id="rId30" Type="http://schemas.openxmlformats.org/officeDocument/2006/relationships/hyperlink" Target="consultantplus://offline/ref=646936C395885A550880C901C0FA375679E00C4849D511D35D9105AFEE747F8D733E1AB179EC8432443B08EBA7B6055943qD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DC18-4048-4B1A-AF13-A5848AD9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9979</Words>
  <Characters>56882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2019-12-06T09:26:00Z</cp:lastPrinted>
  <dcterms:created xsi:type="dcterms:W3CDTF">2019-12-06T09:28:00Z</dcterms:created>
  <dcterms:modified xsi:type="dcterms:W3CDTF">2019-12-06T09:28:00Z</dcterms:modified>
</cp:coreProperties>
</file>