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37E" w:rsidRDefault="00CA737E">
      <w:pPr>
        <w:spacing w:after="1" w:line="220" w:lineRule="atLeast"/>
        <w:ind w:firstLine="540"/>
        <w:jc w:val="both"/>
        <w:outlineLvl w:val="0"/>
      </w:pPr>
      <w:r>
        <w:rPr>
          <w:rFonts w:ascii="Calibri" w:hAnsi="Calibri" w:cs="Calibri"/>
        </w:rPr>
        <w:t>Статья 39.33. 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</w:p>
    <w:p w:rsidR="00CA737E" w:rsidRDefault="00CA737E">
      <w:pPr>
        <w:spacing w:after="1" w:line="220" w:lineRule="atLeast"/>
        <w:jc w:val="both"/>
      </w:pPr>
    </w:p>
    <w:p w:rsidR="00CA737E" w:rsidRDefault="00CA737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</w:t>
      </w:r>
    </w:p>
    <w:p w:rsidR="00CA737E" w:rsidRDefault="00CA737E">
      <w:pPr>
        <w:spacing w:after="1" w:line="220" w:lineRule="atLeast"/>
        <w:ind w:firstLine="540"/>
        <w:jc w:val="both"/>
      </w:pPr>
      <w:bookmarkStart w:id="0" w:name="P3"/>
      <w:bookmarkEnd w:id="0"/>
      <w:r>
        <w:rPr>
          <w:rFonts w:ascii="Calibri" w:hAnsi="Calibri" w:cs="Calibri"/>
        </w:rPr>
        <w:t>1) проведение инженерных изысканий;</w:t>
      </w:r>
    </w:p>
    <w:p w:rsidR="00CA737E" w:rsidRDefault="00CA737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2) капитальный или текущий ремонт линейного объекта;</w:t>
      </w:r>
    </w:p>
    <w:p w:rsidR="00CA737E" w:rsidRDefault="00CA737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CA737E" w:rsidRDefault="00CA737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4) осуществление геологического изучения недр;</w:t>
      </w:r>
    </w:p>
    <w:p w:rsidR="00CA737E" w:rsidRDefault="00CA737E">
      <w:pPr>
        <w:spacing w:after="1" w:line="220" w:lineRule="atLeast"/>
        <w:ind w:firstLine="540"/>
        <w:jc w:val="both"/>
      </w:pPr>
      <w:bookmarkStart w:id="1" w:name="P7"/>
      <w:bookmarkEnd w:id="1"/>
      <w:r>
        <w:rPr>
          <w:rFonts w:ascii="Calibri" w:hAnsi="Calibri" w:cs="Calibri"/>
        </w:rPr>
        <w:t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</w:t>
      </w:r>
    </w:p>
    <w:p w:rsidR="00CA737E" w:rsidRDefault="00CA737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6) размещение нестационарных торговых объектов, рекламных конструкций, а также иных объектов, </w:t>
      </w:r>
      <w:hyperlink r:id="rId4" w:history="1">
        <w:r>
          <w:rPr>
            <w:rFonts w:ascii="Calibri" w:hAnsi="Calibri" w:cs="Calibri"/>
            <w:color w:val="0000FF"/>
          </w:rPr>
          <w:t>виды</w:t>
        </w:r>
      </w:hyperlink>
      <w:r>
        <w:rPr>
          <w:rFonts w:ascii="Calibri" w:hAnsi="Calibri" w:cs="Calibri"/>
        </w:rPr>
        <w:t xml:space="preserve"> которых устанавливаются Правительством Российской Федерации.</w:t>
      </w:r>
    </w:p>
    <w:p w:rsidR="00CA737E" w:rsidRDefault="00CA737E">
      <w:pPr>
        <w:spacing w:after="1" w:line="220" w:lineRule="atLeast"/>
        <w:ind w:firstLine="540"/>
        <w:jc w:val="both"/>
      </w:pPr>
      <w:bookmarkStart w:id="2" w:name="P9"/>
      <w:bookmarkEnd w:id="2"/>
      <w:r>
        <w:rPr>
          <w:rFonts w:ascii="Calibri" w:hAnsi="Calibri" w:cs="Calibri"/>
        </w:rPr>
        <w:t xml:space="preserve">2. Использование земель или земельных участков, находящихся в государственной или муниципальной собственности, в целях, указанных в </w:t>
      </w:r>
      <w:hyperlink w:anchor="P3" w:history="1">
        <w:r>
          <w:rPr>
            <w:rFonts w:ascii="Calibri" w:hAnsi="Calibri" w:cs="Calibri"/>
            <w:color w:val="0000FF"/>
          </w:rPr>
          <w:t>подпунктах 1</w:t>
        </w:r>
      </w:hyperlink>
      <w:r>
        <w:rPr>
          <w:rFonts w:ascii="Calibri" w:hAnsi="Calibri" w:cs="Calibri"/>
        </w:rPr>
        <w:t xml:space="preserve"> - </w:t>
      </w:r>
      <w:hyperlink w:anchor="P7" w:history="1">
        <w:r>
          <w:rPr>
            <w:rFonts w:ascii="Calibri" w:hAnsi="Calibri" w:cs="Calibri"/>
            <w:color w:val="0000FF"/>
          </w:rPr>
          <w:t>5 пункта 1</w:t>
        </w:r>
      </w:hyperlink>
      <w:r>
        <w:rPr>
          <w:rFonts w:ascii="Calibri" w:hAnsi="Calibri" w:cs="Calibri"/>
        </w:rPr>
        <w:t xml:space="preserve"> настоящей статьи, осуществляется на основании разрешений уполномоченного органа.</w:t>
      </w:r>
    </w:p>
    <w:p w:rsidR="00CA737E" w:rsidRDefault="00CA737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</w:t>
      </w:r>
    </w:p>
    <w:p w:rsidR="00CA737E" w:rsidRDefault="00CA737E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Указанное в </w:t>
      </w:r>
      <w:hyperlink w:anchor="P9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CA737E" w:rsidRDefault="00CA737E">
      <w:pPr>
        <w:spacing w:after="1" w:line="220" w:lineRule="atLeast"/>
      </w:pPr>
      <w:hyperlink r:id="rId5" w:history="1">
        <w:r>
          <w:rPr>
            <w:rFonts w:ascii="Calibri" w:hAnsi="Calibri" w:cs="Calibri"/>
            <w:i/>
            <w:color w:val="0000FF"/>
          </w:rPr>
          <w:br/>
          <w:t>ст. 39.33,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0C53B9" w:rsidRDefault="000C53B9">
      <w:pPr>
        <w:spacing w:after="1" w:line="220" w:lineRule="atLeast"/>
      </w:pPr>
      <w:bookmarkStart w:id="3" w:name="_GoBack"/>
      <w:bookmarkEnd w:id="3"/>
      <w:r>
        <w:rPr>
          <w:rFonts w:ascii="Calibri" w:hAnsi="Calibri" w:cs="Calibri"/>
        </w:rPr>
        <w:br/>
      </w:r>
    </w:p>
    <w:p w:rsidR="002A4AE4" w:rsidRDefault="002A4AE4">
      <w:pPr>
        <w:pStyle w:val="ConsPlusNormal"/>
      </w:pPr>
      <w:r>
        <w:br/>
      </w:r>
    </w:p>
    <w:p w:rsidR="004F522C" w:rsidRDefault="00CA737E"/>
    <w:sectPr w:rsidR="004F522C" w:rsidSect="00B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2A4AE4"/>
    <w:rsid w:val="005563CE"/>
    <w:rsid w:val="009A7A35"/>
    <w:rsid w:val="00CA737E"/>
    <w:rsid w:val="00D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0FA7E04ED4C99E312A52EFFE1C1F1E1C3ED4C4991486B1274B13A6F38CB3E59F96CFE08A1AD4B5D" TargetMode="External"/><Relationship Id="rId4" Type="http://schemas.openxmlformats.org/officeDocument/2006/relationships/hyperlink" Target="consultantplus://offline/ref=4F0FA7E04ED4C99E312A52EFFE1C1F1E1F37D3C09B1586B1274B13A6F38CB3E59F96CFE08A1D478BDCB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2017-03-16T03:01:00Z</dcterms:created>
  <dcterms:modified xsi:type="dcterms:W3CDTF">2017-03-16T03:01:00Z</dcterms:modified>
</cp:coreProperties>
</file>